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Estimate: Mechanical &amp; Biofiltration Network (with RFS, Aragonite Reactor, &amp; CO2 Degassing)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System Requirements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Production Load &amp; Hydrology:</w:t>
      </w:r>
      <w:r w:rsidDel="00000000" w:rsidR="00000000" w:rsidRPr="00000000">
        <w:rPr>
          <w:rFonts w:ascii="Arial" w:cs="Arial" w:eastAsia="Arial" w:hAnsi="Arial"/>
          <w:color w:val="1f1f1f"/>
          <w:rtl w:val="0"/>
        </w:rPr>
        <w:t xml:space="preserve"> The network must process a continuous flow of 450 m³/hr returning from the 170 raceways, maintaining pristine water quality for a standing biomass of 35 tonnes of </w:t>
      </w:r>
      <w:r w:rsidDel="00000000" w:rsidR="00000000" w:rsidRPr="00000000">
        <w:rPr>
          <w:rFonts w:ascii="Arial" w:cs="Arial" w:eastAsia="Arial" w:hAnsi="Arial"/>
          <w:i w:val="1"/>
          <w:iCs w:val="1"/>
          <w:color w:val="1f1f1f"/>
          <w:rtl w:val="0"/>
        </w:rPr>
        <w:t xml:space="preserve">Tripneustes gratilla</w:t>
      </w:r>
      <w:r w:rsidDel="00000000" w:rsidR="00000000" w:rsidRPr="00000000">
        <w:rPr>
          <w:rFonts w:ascii="Arial" w:cs="Arial" w:eastAsia="Arial" w:hAnsi="Arial"/>
          <w:color w:val="1f1f1f"/>
          <w:rtl w:val="0"/>
        </w:rPr>
        <w:t xml:space="preserve"> held at 27°C.</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Pathogen &amp; Waste Gate (Updated Flow):</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Primary Settling:</w:t>
      </w:r>
      <w:r w:rsidDel="00000000" w:rsidR="00000000" w:rsidRPr="00000000">
        <w:rPr>
          <w:rFonts w:ascii="Arial" w:cs="Arial" w:eastAsia="Arial" w:hAnsi="Arial"/>
          <w:color w:val="1f1f1f"/>
          <w:rtl w:val="0"/>
        </w:rPr>
        <w:t xml:space="preserve"> Twin Radial Flow Settlers (Swirl Filters) utilizing centrifugal force and gravity to drop out heavy </w:t>
      </w:r>
      <w:r w:rsidDel="00000000" w:rsidR="00000000" w:rsidRPr="00000000">
        <w:rPr>
          <w:rFonts w:ascii="Arial" w:cs="Arial" w:eastAsia="Arial" w:hAnsi="Arial"/>
          <w:i w:val="1"/>
          <w:iCs w:val="1"/>
          <w:color w:val="1f1f1f"/>
          <w:rtl w:val="0"/>
        </w:rPr>
        <w:t xml:space="preserve">Ulva</w:t>
      </w:r>
      <w:r w:rsidDel="00000000" w:rsidR="00000000" w:rsidRPr="00000000">
        <w:rPr>
          <w:rFonts w:ascii="Arial" w:cs="Arial" w:eastAsia="Arial" w:hAnsi="Arial"/>
          <w:color w:val="1f1f1f"/>
          <w:rtl w:val="0"/>
        </w:rPr>
        <w:t xml:space="preserve"> chaff and intact faecal pellets. Features 60° cone bottoms with automated purge valves.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Secondary Mechanical:</w:t>
      </w:r>
      <w:r w:rsidDel="00000000" w:rsidR="00000000" w:rsidRPr="00000000">
        <w:rPr>
          <w:rFonts w:ascii="Arial" w:cs="Arial" w:eastAsia="Arial" w:hAnsi="Arial"/>
          <w:color w:val="1f1f1f"/>
          <w:rtl w:val="0"/>
        </w:rPr>
        <w:t xml:space="preserve"> 50-micron automatic drum filter to catch suspended micro-fines.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Biological:</w:t>
      </w:r>
      <w:r w:rsidDel="00000000" w:rsidR="00000000" w:rsidRPr="00000000">
        <w:rPr>
          <w:rFonts w:ascii="Arial" w:cs="Arial" w:eastAsia="Arial" w:hAnsi="Arial"/>
          <w:color w:val="1f1f1f"/>
          <w:rtl w:val="0"/>
        </w:rPr>
        <w:t xml:space="preserve"> A scaled Moving Bed Biofilm Reactor (MBBR) utilizing high-surface-area K1 or Mutag bio-media to nitrify the ammonia output.</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CO2 Degassing (The pH Buffer):</w:t>
      </w:r>
      <w:r w:rsidDel="00000000" w:rsidR="00000000" w:rsidRPr="00000000">
        <w:rPr>
          <w:rFonts w:ascii="Arial" w:cs="Arial" w:eastAsia="Arial" w:hAnsi="Arial"/>
          <w:color w:val="1f1f1f"/>
          <w:rtl w:val="0"/>
        </w:rPr>
        <w:t xml:space="preserve"> A tall, forced-air degassing tower. Water dropping from the MBBR trickles through bio-media while a high-volume fan blows fresh air upward, aggressively stripping dissolved CO2 out of the water before it hits the sump. This is a critical defense against biogenic acidification.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Fractionation:</w:t>
      </w:r>
      <w:r w:rsidDel="00000000" w:rsidR="00000000" w:rsidRPr="00000000">
        <w:rPr>
          <w:rFonts w:ascii="Arial" w:cs="Arial" w:eastAsia="Arial" w:hAnsi="Arial"/>
          <w:color w:val="1f1f1f"/>
          <w:rtl w:val="0"/>
        </w:rPr>
        <w:t xml:space="preserve"> Commercial protein skimmers injected with ozone to strip dissolved organics (drawing from the main sump).</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Chemical:</w:t>
      </w:r>
      <w:r w:rsidDel="00000000" w:rsidR="00000000" w:rsidRPr="00000000">
        <w:rPr>
          <w:rFonts w:ascii="Arial" w:cs="Arial" w:eastAsia="Arial" w:hAnsi="Arial"/>
          <w:color w:val="1f1f1f"/>
          <w:rtl w:val="0"/>
        </w:rPr>
        <w:t xml:space="preserve"> Commercial-scale Aragonite Calcium Reactor. By dissolving dead coral, the system releases a continuous supply of calcium and carbonate for test (shell) growth. A smaller sodium bicarbonate dosing system remains as an emergency backup.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CAPEX Breakdown (AUD)</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Commercial Radial Flow Settlers (2x FRP units sized for 225 m³/hr each, 60° cone bottoms): $38,500</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Industrial Marine Drum Filter (Sized for 500 m³/hr, 50-micron screens, Duplex 316SS): $62,500</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MBBR Biofilter Vessels &amp; Media (2x 20,000L heavy-duty poly tanks, 30m³ of bio-media): $34,500</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Commercial CO2 Degassing Tower</w:t>
      </w:r>
      <w:r w:rsidDel="00000000" w:rsidR="00000000" w:rsidRPr="00000000">
        <w:rPr>
          <w:rFonts w:ascii="Arial" w:cs="Arial" w:eastAsia="Arial" w:hAnsi="Arial"/>
          <w:color w:val="1f1f1f"/>
          <w:rtl w:val="0"/>
        </w:rPr>
        <w:t xml:space="preserve"> (FRP column, internal trickling media, and 3-phase high-volume centrifugal fan): $18,500</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Commercial Protein Skimmers (2x heavy-duty fractionators handling 225 m³/hr each): $48,000</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Ozone Generator &amp; Commercial UV Sterilization Bank: $28,500</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Aragonite Calcium Reactor System (2x FRP reactor vessels, bulk CO2 manifold, master pH controllers): $22,500</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Backup Alkalinity Dosing System (Peristaltic pumps for emergency Sodium Bicarbonate): $4,500</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Installation, Laser Alignment, Custom Pipefitting, &amp; Pad Prep: $42,000</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Contingency (15%):</w:t>
      </w:r>
      <w:r w:rsidDel="00000000" w:rsidR="00000000" w:rsidRPr="00000000">
        <w:rPr>
          <w:rFonts w:ascii="Arial" w:cs="Arial" w:eastAsia="Arial" w:hAnsi="Arial"/>
          <w:color w:val="1f1f1f"/>
          <w:rtl w:val="0"/>
        </w:rPr>
        <w:t xml:space="preserve"> $44,925</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Total Subsystem CAPEX: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$344,425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OPEX Breakdown - Annual (AUD)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Electricity (Drum filter, skimmers, UV lamps, ozone, RFS purge valves, </w:t>
      </w:r>
      <w:r w:rsidDel="00000000" w:rsidR="00000000" w:rsidRPr="00000000">
        <w:rPr>
          <w:rFonts w:ascii="Arial" w:cs="Arial" w:eastAsia="Arial" w:hAnsi="Arial"/>
          <w:b w:val="1"/>
          <w:bCs w:val="1"/>
          <w:color w:val="1f1f1f"/>
          <w:rtl w:val="0"/>
        </w:rPr>
        <w:t xml:space="preserve">and CO2 Degassing Fan</w:t>
      </w:r>
      <w:r w:rsidDel="00000000" w:rsidR="00000000" w:rsidRPr="00000000">
        <w:rPr>
          <w:rFonts w:ascii="Arial" w:cs="Arial" w:eastAsia="Arial" w:hAnsi="Arial"/>
          <w:color w:val="1f1f1f"/>
          <w:rtl w:val="0"/>
        </w:rPr>
        <w:t xml:space="preserve">): $22,700</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Consumables - Calcium Reactor Media &amp; Gas (Bulk aragonite/crushed coral replenishment and liquid CO2): $11,500</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Consumables - Backup Alkalinity Buffering (Reduced Sodium Bicarbonate usage, utilized only for fine-tuning pH spikes): $6,000</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Consumables - Filtration (Replacement drum screens, UV bulbs, ozone desiccant): $4,500</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Routine Maintenance (Skimmer neck cleaning, sensor calibration, CO2 tower media rinsing): $4,500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Direct Labor (0.25 FTE for daily water chemistry testing, reactor media top-offs, and inspecting purge lines): $18,750</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Total Annual OPEX: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$67,950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Key Assumptions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Biogenic Acidification Defense:</w:t>
      </w:r>
      <w:r w:rsidDel="00000000" w:rsidR="00000000" w:rsidRPr="00000000">
        <w:rPr>
          <w:rFonts w:ascii="Arial" w:cs="Arial" w:eastAsia="Arial" w:hAnsi="Arial"/>
          <w:color w:val="1f1f1f"/>
          <w:rtl w:val="0"/>
        </w:rPr>
        <w:t xml:space="preserve"> As noted in your Mugenuni trials (Mos et al., 2015), reduced buffering capacity limits intensive production. The combination of the CO2 Degassing Tower (stripping the acidifier) and the Aragonite Reactor (adding the calcium/alkalinity) provides the ultimate "belt and suspenders" protection for the 27°C sweet spot.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Energy Savings:</w:t>
      </w:r>
      <w:r w:rsidDel="00000000" w:rsidR="00000000" w:rsidRPr="00000000">
        <w:rPr>
          <w:rFonts w:ascii="Arial" w:cs="Arial" w:eastAsia="Arial" w:hAnsi="Arial"/>
          <w:color w:val="1f1f1f"/>
          <w:rtl w:val="0"/>
        </w:rPr>
        <w:t xml:space="preserve"> The Radial Flow Settlers remove 60-70% of heavy solids before they hit the drum, significantly lowering the drum filter's high-pressure backwash frequency and extending screen life.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Equipment Lifespan:</w:t>
      </w:r>
      <w:r w:rsidDel="00000000" w:rsidR="00000000" w:rsidRPr="00000000">
        <w:rPr>
          <w:rFonts w:ascii="Arial" w:cs="Arial" w:eastAsia="Arial" w:hAnsi="Arial"/>
          <w:color w:val="1f1f1f"/>
          <w:rtl w:val="0"/>
        </w:rPr>
        <w:t xml:space="preserve"> Radial Flow Settlers (25+ years), Drum filter body (15+ years), CO2 Degassing Tower (20+ years), Calcium Reactor Vessels (15+ years), Poly MBBR tanks (20+ years).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