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sources, when using IMTA-produced </w:t>
      </w:r>
      <w:r w:rsidDel="00000000" w:rsidR="00000000" w:rsidRPr="00000000">
        <w:rPr>
          <w:i w:val="1"/>
          <w:iCs w:val="1"/>
          <w:rtl w:val="0"/>
        </w:rPr>
        <w:t xml:space="preserve">Ulva lactuca</w:t>
      </w:r>
      <w:r w:rsidDel="00000000" w:rsidR="00000000" w:rsidRPr="00000000">
        <w:rPr>
          <w:rtl w:val="0"/>
        </w:rPr>
        <w:t xml:space="preserve"> as the sole food source for the tropical sea urchin </w:t>
      </w:r>
      <w:r w:rsidDel="00000000" w:rsidR="00000000" w:rsidRPr="00000000">
        <w:rPr>
          <w:i w:val="1"/>
          <w:iCs w:val="1"/>
          <w:rtl w:val="0"/>
        </w:rPr>
        <w:t xml:space="preserve">Tripneustes gratilla</w:t>
      </w:r>
      <w:r w:rsidDel="00000000" w:rsidR="00000000" w:rsidRPr="00000000">
        <w:rPr>
          <w:rtl w:val="0"/>
        </w:rPr>
        <w:t xml:space="preserve">, the percentage of gonads that reached </w:t>
      </w:r>
      <w:r w:rsidDel="00000000" w:rsidR="00000000" w:rsidRPr="00000000">
        <w:rPr>
          <w:b w:val="1"/>
          <w:bCs w:val="1"/>
          <w:rtl w:val="0"/>
        </w:rPr>
        <w:t xml:space="preserve">acceptable colour</w:t>
      </w:r>
      <w:r w:rsidDel="00000000" w:rsidR="00000000" w:rsidRPr="00000000">
        <w:rPr>
          <w:rtl w:val="0"/>
        </w:rPr>
        <w:t xml:space="preserve"> (which aligns with high commercial quality) was consistently high.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fed IMTA-produced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exhibited </w:t>
      </w:r>
      <w:r w:rsidDel="00000000" w:rsidR="00000000" w:rsidRPr="00000000">
        <w:rPr>
          <w:b w:val="1"/>
          <w:bCs w:val="1"/>
          <w:rtl w:val="0"/>
        </w:rPr>
        <w:t xml:space="preserve">90–100% acceptable gonad colour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the period from day 160 to the end of the experiment (day 251), </w:t>
      </w:r>
      <w:r w:rsidDel="00000000" w:rsidR="00000000" w:rsidRPr="00000000">
        <w:rPr>
          <w:b w:val="1"/>
          <w:bCs w:val="1"/>
          <w:rtl w:val="0"/>
        </w:rPr>
        <w:t xml:space="preserve">90–95% of the gonads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i w:val="1"/>
          <w:iCs w:val="1"/>
          <w:rtl w:val="0"/>
        </w:rPr>
        <w:t xml:space="preserve">U. lactuca</w:t>
      </w:r>
      <w:r w:rsidDel="00000000" w:rsidR="00000000" w:rsidRPr="00000000">
        <w:rPr>
          <w:rtl w:val="0"/>
        </w:rPr>
        <w:t xml:space="preserve"> diet showed acceptable colour, specifically categorised as grades A and B.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A</w:t>
      </w:r>
      <w:r w:rsidDel="00000000" w:rsidR="00000000" w:rsidRPr="00000000">
        <w:rPr>
          <w:rtl w:val="0"/>
        </w:rPr>
        <w:t xml:space="preserve"> colour is defined as bright yellow or orange and is equivalent to the grade A standard in the commercial roe industry. </w:t>
      </w:r>
      <w:r w:rsidDel="00000000" w:rsidR="00000000" w:rsidRPr="00000000">
        <w:rPr>
          <w:b w:val="1"/>
          <w:bCs w:val="1"/>
          <w:rtl w:val="0"/>
        </w:rPr>
        <w:t xml:space="preserve">Grade B</w:t>
      </w:r>
      <w:r w:rsidDel="00000000" w:rsidR="00000000" w:rsidRPr="00000000">
        <w:rPr>
          <w:rtl w:val="0"/>
        </w:rPr>
        <w:t xml:space="preserve"> is defined as pale yellow or orange mustard and is considered acceptable.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comparison, the formulated diet (which included 10% </w:t>
      </w:r>
      <w:r w:rsidDel="00000000" w:rsidR="00000000" w:rsidRPr="00000000">
        <w:rPr>
          <w:i w:val="1"/>
          <w:iCs w:val="1"/>
          <w:rtl w:val="0"/>
        </w:rPr>
        <w:t xml:space="preserve">Ulva inclusion</w:t>
      </w:r>
      <w:r w:rsidDel="00000000" w:rsidR="00000000" w:rsidRPr="00000000">
        <w:rPr>
          <w:rtl w:val="0"/>
        </w:rPr>
        <w:t xml:space="preserve">) showed poorer results, yielding only 30–60% acceptable colour (Grades A and B), with most resulting in unacceptable white-coloured gonads. The </w:t>
      </w:r>
      <w:r w:rsidDel="00000000" w:rsidR="00000000" w:rsidRPr="00000000">
        <w:rPr>
          <w:i w:val="1"/>
          <w:iCs w:val="1"/>
          <w:rtl w:val="0"/>
        </w:rPr>
        <w:t xml:space="preserve">Gracilaria conferta</w:t>
      </w:r>
      <w:r w:rsidDel="00000000" w:rsidR="00000000" w:rsidRPr="00000000">
        <w:rPr>
          <w:rtl w:val="0"/>
        </w:rPr>
        <w:t xml:space="preserve"> diet yielded acceptable colour (grades A and B) for ca. 80% or 70–95% of the gonads.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