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Executive Summary: Mugenuni Chinderah Facility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Opportunity and Biological Asset</w:t>
      </w:r>
      <w:r w:rsidDel="00000000" w:rsidR="00000000" w:rsidRPr="00000000">
        <w:rPr>
          <w:rtl w:val="0"/>
        </w:rPr>
        <w:t xml:space="preserve"> Mugenuni Pty Ltd is establishing a state-of-the-art, 5,400 sqm commercial-scale Marine Recirculating Aquaculture System (MRAS) in Chinderah, NSW, dedicated to the intensive cultivation of the tropical collector urchin, </w:t>
      </w:r>
      <w:r w:rsidDel="00000000" w:rsidR="00000000" w:rsidRPr="00000000">
        <w:rPr>
          <w:i w:val="1"/>
          <w:iCs w:val="1"/>
          <w:rtl w:val="0"/>
        </w:rPr>
        <w:t xml:space="preserve">Tripneustes gratilla</w:t>
      </w:r>
      <w:r w:rsidDel="00000000" w:rsidR="00000000" w:rsidRPr="00000000">
        <w:rPr>
          <w:rtl w:val="0"/>
        </w:rPr>
        <w:t xml:space="preserve">. The global echinoculture industry is in a profound transitional phase; decades of overfishing and climate-induced habitat degradation have decimated wild stocks in the Northern Hemisphere and Chile, while international demand and valuations for premium sea urchin roe ("uni") continue to break records, frequently fetching up to $1,000 AUD per kilogram in Japanese markets. </w:t>
      </w:r>
      <w:r w:rsidDel="00000000" w:rsidR="00000000" w:rsidRPr="00000000">
        <w:rPr>
          <w:i w:val="1"/>
          <w:iCs w:val="1"/>
          <w:rtl w:val="0"/>
        </w:rPr>
        <w:t xml:space="preserve">T. gratilla</w:t>
      </w:r>
      <w:r w:rsidDel="00000000" w:rsidR="00000000" w:rsidRPr="00000000">
        <w:rPr>
          <w:rtl w:val="0"/>
        </w:rPr>
        <w:t xml:space="preserve"> possesses an exceptionally rapid somatic growth rate, capable of reaching commercial market size (70-78 mm test diameter) within 7 to 10 months. In our intensive land-based system, the spatial gonad production is modeled at 42 to 73 tonnes (wet weight) per hectare annually, vastly outperforming traditional shellfish sectors such as abalone.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Production Scale and Financial Parameters</w:t>
      </w:r>
      <w:r w:rsidDel="00000000" w:rsidR="00000000" w:rsidRPr="00000000">
        <w:rPr>
          <w:rtl w:val="0"/>
        </w:rPr>
        <w:t xml:space="preserve"> The facility is engineered around a 170-raceway grid designed to deliver a continuous, steady-state harvest pulse of 35,000 to 50,000 market-ready urchins every month.</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Total CAPEX:</w:t>
      </w:r>
      <w:r w:rsidDel="00000000" w:rsidR="00000000" w:rsidRPr="00000000">
        <w:rPr>
          <w:rtl w:val="0"/>
        </w:rPr>
        <w:t xml:space="preserve"> The complete facility capital expenditure is fiercely modeled at $5,063,910 AUD. This encompasses $3,691,500 for the engineered glasshouse structure and civil works (including the 150mm reinforced slab), and $1,372,410 for the MRAS life-support core.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Unit Cost of Production (CoP):</w:t>
      </w:r>
      <w:r w:rsidDel="00000000" w:rsidR="00000000" w:rsidRPr="00000000">
        <w:rPr>
          <w:rtl w:val="0"/>
        </w:rPr>
        <w:t xml:space="preserve"> Our data-driven operational model fixes the final Cost of Production at $3.92 AUD per 200g market-ready urchin. This CoP includes seed, utilities, customized high-protein </w:t>
      </w:r>
      <w:r w:rsidDel="00000000" w:rsidR="00000000" w:rsidRPr="00000000">
        <w:rPr>
          <w:i w:val="1"/>
          <w:iCs w:val="1"/>
          <w:rtl w:val="0"/>
        </w:rPr>
        <w:t xml:space="preserve">Ulva</w:t>
      </w:r>
      <w:r w:rsidDel="00000000" w:rsidR="00000000" w:rsidRPr="00000000">
        <w:rPr>
          <w:rtl w:val="0"/>
        </w:rPr>
        <w:t xml:space="preserve"> feed, labor, and facility overheads.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Accelerated ROI Upgrade:</w:t>
      </w:r>
      <w:r w:rsidDel="00000000" w:rsidR="00000000" w:rsidRPr="00000000">
        <w:rPr>
          <w:rtl w:val="0"/>
        </w:rPr>
        <w:t xml:space="preserve"> By investing an additional $424,500 AUD in a precision blue LED array (λ450nm) and a 180kW cascade titanium heat pump array to maintain a strict 26.5°C to 27°C thermal heartbeat, the biological grow-out cycle is compressed to approximately 5.3 months. This increases annual harvest pulses from 12 to 15.8, generating an estimated +$1,368,000 AUD in additional annual revenue and paying for the infrastructure upgrade in roughly four months.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Technological Moat and Risk Mitigation</w:t>
      </w:r>
      <w:r w:rsidDel="00000000" w:rsidR="00000000" w:rsidRPr="00000000">
        <w:rPr>
          <w:rtl w:val="0"/>
        </w:rPr>
        <w:t xml:space="preserve"> We have engineered out the primary causes of commercial echinoculture failure: biogenic acidification and handling-induced mortality.</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Precision Echinoculture:</w:t>
      </w:r>
      <w:r w:rsidDel="00000000" w:rsidR="00000000" w:rsidRPr="00000000">
        <w:rPr>
          <w:rtl w:val="0"/>
        </w:rPr>
        <w:t xml:space="preserve"> To eliminate the exorbitant labor OPEX and catastrophic stress-induced spawning associated with manual grading, Mugenuni employs "UrchinVision". This open-source, non-invasive computer vision technology uses HSV filtering and edge detection to calculate exact test diameters and projected masses while urchins safely drip-dry on conveyors, dropping the measurement coefficient of variation to just 1.55%.</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Life-Support Redundancy:</w:t>
      </w:r>
      <w:r w:rsidDel="00000000" w:rsidR="00000000" w:rsidRPr="00000000">
        <w:rPr>
          <w:rtl w:val="0"/>
        </w:rPr>
        <w:t xml:space="preserve"> Continuous electrical flow is a non-negotiable insurance policy for holding 35 tonnes of high-density biomass at 27°C. The facility includes a $110,000 AUD 400kVA commercial diesel generator with an Automatic Transfer Switch (ATS) to provide 100% emergency power backup. Furthermore, a dedicated CO2 degassing tower and Aragonite Calcium Reactor safeguard the system against biogenic acidification, ensuring robust test growth.</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IMTA Circularity and Feed Optimization</w:t>
      </w:r>
      <w:r w:rsidDel="00000000" w:rsidR="00000000" w:rsidRPr="00000000">
        <w:rPr>
          <w:rtl w:val="0"/>
        </w:rPr>
        <w:t xml:space="preserve"> The facility operates on Integrated Multi-Trophic Aquaculture (IMTA) principles to slash feed OPEX and monetize waste. Particulate sludge from the drum filters is collected and processed through a heavily aerated mineralization reactor to create a dissolved, nutrient-rich liquid fertilizer. This "fertilizer tea" is dosed into raceways to cultivate our primary feed crop, </w:t>
      </w:r>
      <w:r w:rsidDel="00000000" w:rsidR="00000000" w:rsidRPr="00000000">
        <w:rPr>
          <w:i w:val="1"/>
          <w:iCs w:val="1"/>
          <w:rtl w:val="0"/>
        </w:rPr>
        <w:t xml:space="preserve">Ulva spp.</w:t>
      </w:r>
      <w:r w:rsidDel="00000000" w:rsidR="00000000" w:rsidRPr="00000000">
        <w:rPr>
          <w:rtl w:val="0"/>
        </w:rPr>
        <w:t xml:space="preserve">, driving its crude protein content to 34%. To finish the urchins and maximize the Gonadosomatic Index (GSI) and vibrant golden colouration required by top-tier markets, we transition the adults to a high-performance "20U" formulated diet (containing 20% dried </w:t>
      </w:r>
      <w:r w:rsidDel="00000000" w:rsidR="00000000" w:rsidRPr="00000000">
        <w:rPr>
          <w:i w:val="1"/>
          <w:iCs w:val="1"/>
          <w:rtl w:val="0"/>
        </w:rPr>
        <w:t xml:space="preserve">Ulva</w:t>
      </w:r>
      <w:r w:rsidDel="00000000" w:rsidR="00000000" w:rsidRPr="00000000">
        <w:rPr>
          <w:rtl w:val="0"/>
        </w:rPr>
        <w:t xml:space="preserve">) for the final phase of grow-out.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Market Strategy and Live Export</w:t>
      </w:r>
      <w:r w:rsidDel="00000000" w:rsidR="00000000" w:rsidRPr="00000000">
        <w:rPr>
          <w:rtl w:val="0"/>
        </w:rPr>
        <w:t xml:space="preserve"> Output is channeled to maximize farmgate margins through two distinct, DAFF-compliant pipelines. The facility features an export-grade </w:t>
      </w:r>
      <w:r w:rsidDel="00000000" w:rsidR="00000000" w:rsidRPr="00000000">
        <w:rPr>
          <w:i w:val="1"/>
          <w:iCs w:val="1"/>
          <w:rtl w:val="0"/>
        </w:rPr>
        <w:t xml:space="preserve">uni</w:t>
      </w:r>
      <w:r w:rsidDel="00000000" w:rsidR="00000000" w:rsidRPr="00000000">
        <w:rPr>
          <w:rtl w:val="0"/>
        </w:rPr>
        <w:t xml:space="preserve"> processing clean room ($309,350 CAPEX) utilizing strict temperature controls (10°C) and a specialized chilled alum/Myoban bath to firm the roe for premium tray packing. Simultaneously, we target the highly lucrative "Live Premium" market in Asia and domestic high-end hospitality. Using our validated dry-shipping protocols, live, purged urchins are packed in custom-molded trays within EPS foam boxes and chilled to 12°C–15°C, ensuring survival for up to 48 hours of international air freight.</w:t>
      </w:r>
    </w:p>
    <w:p w:rsidR="00000000" w:rsidDel="00000000" w:rsidP="00000000" w:rsidRDefault="00000000" w:rsidRPr="00000000" w14:paraId="0000000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