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Financial Estimate: Commercial Glasshouse Shed &amp; Civil Works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System Requirements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Footprint: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5,400 square meters (approx. 1.33 acres) under roof.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Commercial "Glasshouse Style" Agricultural Shed. Engineered using a galvanized steel portal frame clad in twin-wall polycarbonate or tempered horticultural glass. This material is chosen specifically for its high thermal retention properties, biosecurity sealing, and ability to withstand Northern N.S.W. coastal wind loads.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engineered commercial concrete slab, heavily reinforced to support the static weight of 170 raceways and 50,000L sumps, featuring integrated trench drainage for the raceway flush-cleaning protocol.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Emergency Power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dedicated commercial diesel generator equipped with an Automatic Transfer Switch (ATS) sized to carry the entire life-support load (main pumps, heat pumps, oxygen systems, and paddlewheels) in the event of a grid failure.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CAPEX Breakdown (AUD - 2026 Commercial Rates)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Site Preparation &amp; Earthworks: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(Leveling 5,400 sqm, soil compaction, and trenching for main plumbing/drainage rough-ins): $250,000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Engineered Concrete Slab: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(150mm commercial slab with epoxy sealant, reinforced for heavy aquatic point-loads, sloped to drains): $750,000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Structure Materials: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(Galvanized steel framing, aluminum extrusions, and commercial twin-wall polycarbonate/glass cladding for 5,400 sqm): $1,350,000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Environmental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(Motorized ridge vents and retractable aluminized shade-screens to prevent overheating in the N.S.W. summer): $185,000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General Facility Plumbing &amp; Labour: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(Mains intake connections, extensive under-slab drainage networks, sewer tie-ins, and licensed commercial pipefitter labour for the 5,400 sqm site): $185,000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Emergency Power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(400kVA Commercial Diesel Generator, bulk fuel tank, Automatic Transfer Switch (ATS), and electrical integration): $110,000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Installation &amp; Erection Labor: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(Heavy crane hire, specialized glazing/cladding contractors, and civil engineering sign-offs): $380,000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Contingency (15%):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$481,500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Building Envelope &amp; Civil CAPEX: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$3,691,500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Strategic Investor Notes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Absolute Risk Mitigation (The ATS Generator):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 high-density Marine RAS operating at 27°C, life support is entirely dependent on continuous electrical flow. The inclusion of the 400kVA generator with an Automatic Transfer Switch (ATS) is a non-negotiable insurance policy. If grid power fails, the ATS automatically starts the generator and transfers the load within seconds, preventing a catastrophic loss of the 35-tonne standing biomass. This level of risk mitigation is mandatory for securing institutional investment and comprehensive livestock insurance.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Capitalizing on Solar Gain: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a glasshouse structure requires a higher initial capital outlay than a standard corrugated steel shed, it is a strategic investment in OPEX reduction. The natural solar gain trapped by the structure will heavily subsidize the facility's 180kW heat pump array during the Northern N.S.W. winter, driving down the $58,500 annual thermal electricity costs.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Shading is Mandatory: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facility relies on holding the water strictly at 27°C, summer heat is just as dangerous as winter cold. The $185k automated shade-screen system is a non-negotiable inclusion. It will track the sun and deploy automatically on 30°C+ days to reflect solar radiation away from the raceways.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Future-Proofing for IMTA: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Constructing a light-permeable building envelope perfectly positions Mugenuni to cultivate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(macroalgae feed) indoors in the future. By utilizing free sunlight instead of expensive artificial LED grow-lights, the facility can eventually close the nutrient loop on-site with exceptional energy efficiency.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