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Infrastructure Financial Roll-up: Mugenuni Chinderah Facility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outlines the consolidated Capital Expenditure (CAPEX) and facility-level Operational Expenditure (OPEX) required to construct and run the primary grow-out "engine" of the Mugenuni land-based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facility.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engineered as a highly biosecure, 27°C Marine Recirculating Aquaculture System (MRAS). The infrastructure is scaled to support </w:t>
      </w:r>
      <w:r w:rsidDel="00000000" w:rsidR="00000000" w:rsidRPr="00000000">
        <w:rPr>
          <w:rFonts w:ascii="Google Sans" w:cs="Google Sans" w:eastAsia="Google Sans" w:hAnsi="Google Sans"/>
          <w:b w:val="1"/>
          <w:bCs w:val="1"/>
          <w:color w:val="1f1f1f"/>
          <w:rtl w:val="0"/>
        </w:rPr>
        <w:t xml:space="preserve">170 commercial raceways</w:t>
      </w:r>
      <w:r w:rsidDel="00000000" w:rsidR="00000000" w:rsidRPr="00000000">
        <w:rPr>
          <w:rFonts w:ascii="Google Sans" w:cs="Google Sans" w:eastAsia="Google Sans" w:hAnsi="Google Sans"/>
          <w:color w:val="1f1f1f"/>
          <w:rtl w:val="0"/>
        </w:rPr>
        <w:t xml:space="preserve"> operating on a continuous 7-month grow-out cycle, guaranteeing a steady-state harvest pulse of </w:t>
      </w:r>
      <w:r w:rsidDel="00000000" w:rsidR="00000000" w:rsidRPr="00000000">
        <w:rPr>
          <w:rFonts w:ascii="Google Sans" w:cs="Google Sans" w:eastAsia="Google Sans" w:hAnsi="Google Sans"/>
          <w:b w:val="1"/>
          <w:bCs w:val="1"/>
          <w:color w:val="1f1f1f"/>
          <w:rtl w:val="0"/>
        </w:rPr>
        <w:t xml:space="preserve">50,000 premium urchins per month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Capital Expenditure (CAPEX)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All figures in AUD and include a 15% contingency buffer.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CAPEX (AUD)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Grow-Out Habitat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 Celuka Raceways, 1,700 Benthic Trays, 0.75kW VFD Paddlewheels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$609,960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Mechanical &amp; Biofiltration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Drum Filter, Twin Swirl Filters, MBBR, Skimmers, CO2 Degassing, Aragonite Reactor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$344,425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Thermal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180kW Titanium Reverse-Cycle Heat Pump Array, Bypass Manifolds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$152,605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Liquid O2 &amp; Aeration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5,000L LOX Vessel, Oxygen Cones, Raceway Spout Manifold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$151,570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Main Pump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Twin 22kW Marine Centrifugal Pumps, VFDs, Main Trunk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$113,850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INFRASTRUCTURE 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Complete 5,400 sqm Grow-Out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$1,372,410</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Operational Expenditure (OPEX) Summary - Annual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Includes electricity, subsystem-specific labor/maintenance, and consumables (LOX, aragonite, UV bulbs).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OPEX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OPEX (AUD)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Grow-Out Habitat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24/7 Electricity for 170x 0.75kW Paddlewheels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$357,408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Mechanical &amp; Biofiltration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Media/Screen Replacement, Aragonite supply, CO2 Gas, Testing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$67,950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Thermal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Electricity for Heating/Chilling (holding 27°C), HVAC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Liquid O2 &amp; Aeration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 Liquid Oxygen Delivery (~50 tonnes/yr), Sensor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Main Pump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Electricity for 15–20kW cruising load, Annual Seal/Bearing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$49,040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INFRASTRUCTURE OPEX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Hardware Running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$590,598 / year</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Strategic Investor Notes &amp; Exclusions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OPEX Mitigation Strategy (Solar/VPP)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$590k annual hardware OPEX is dominated by electricity—specifically the $357k required to spin the 170 raceway paddlewheels. This represents a massive target for cost-reduction. By integrating a commercial solar array with battery storage, taking advantage of the Federal STC scheme and NSW Virtual Power Plant (VPP) incentives in 2026, Mugenuni can heavily subsidize daytime running costs and drastically lower the production cost per urchin.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VFD Flow Optimization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Frequency Drives (VFDs) are mandated across all pumps and paddlewheels. Because water exchange rates scale with the urchin biomass (0.5 turnovers/hr for juveniles scaling to 1.0 turnovers/hr for adults), actual power consumption during the early grow-out months will be 20-30% lower than this conservative, full-load financial model.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Financial Boundary Constraints (What is NOT included)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precise financial modeling, the above figures represent strictly the </w:t>
      </w:r>
      <w:r w:rsidDel="00000000" w:rsidR="00000000" w:rsidRPr="00000000">
        <w:rPr>
          <w:rFonts w:ascii="Google Sans" w:cs="Google Sans" w:eastAsia="Google Sans" w:hAnsi="Google Sans"/>
          <w:b w:val="1"/>
          <w:bCs w:val="1"/>
          <w:color w:val="1f1f1f"/>
          <w:rtl w:val="0"/>
        </w:rPr>
        <w:t xml:space="preserve">Grow-Out Infrastructure &amp; Life Support</w:t>
      </w:r>
      <w:r w:rsidDel="00000000" w:rsidR="00000000" w:rsidRPr="00000000">
        <w:rPr>
          <w:rFonts w:ascii="Google Sans" w:cs="Google Sans" w:eastAsia="Google Sans" w:hAnsi="Google Sans"/>
          <w:color w:val="1f1f1f"/>
          <w:rtl w:val="0"/>
        </w:rPr>
        <w:t xml:space="preserve">. A complete business P&amp;L must also account for the following secondary facility budgets: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Site &amp; Civil Works:</w:t>
      </w:r>
      <w:r w:rsidDel="00000000" w:rsidR="00000000" w:rsidRPr="00000000">
        <w:rPr>
          <w:rFonts w:ascii="Google Sans" w:cs="Google Sans" w:eastAsia="Google Sans" w:hAnsi="Google Sans"/>
          <w:color w:val="1f1f1f"/>
          <w:rtl w:val="0"/>
        </w:rPr>
        <w:t xml:space="preserve"> Warehouse leasing/construction, concrete slab pouring, and municipal grid connection.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Hatchery/Nursery:</w:t>
      </w:r>
      <w:r w:rsidDel="00000000" w:rsidR="00000000" w:rsidRPr="00000000">
        <w:rPr>
          <w:rFonts w:ascii="Google Sans" w:cs="Google Sans" w:eastAsia="Google Sans" w:hAnsi="Google Sans"/>
          <w:color w:val="1f1f1f"/>
          <w:rtl w:val="0"/>
        </w:rPr>
        <w:t xml:space="preserve"> Broodstock conditioning tanks, algal culture vessels, and settlement plates (0 to 15mm phase).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 Production: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cultivation raceways or the procurement of formulated pelleted diets.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General Administration:</w:t>
      </w:r>
      <w:r w:rsidDel="00000000" w:rsidR="00000000" w:rsidRPr="00000000">
        <w:rPr>
          <w:rFonts w:ascii="Google Sans" w:cs="Google Sans" w:eastAsia="Google Sans" w:hAnsi="Google Sans"/>
          <w:color w:val="1f1f1f"/>
          <w:rtl w:val="0"/>
        </w:rPr>
        <w:t xml:space="preserve"> Farm manager salary, harvesting/processing labor, marketing, and distribution logistics.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