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the </w:t>
      </w:r>
      <w:r w:rsidDel="00000000" w:rsidR="00000000" w:rsidRPr="00000000">
        <w:rPr>
          <w:rFonts w:ascii="Google Sans" w:cs="Google Sans" w:eastAsia="Google Sans" w:hAnsi="Google Sans"/>
          <w:b w:val="1"/>
          <w:bCs w:val="1"/>
          <w:color w:val="1f1f1f"/>
          <w:rtl w:val="0"/>
        </w:rPr>
        <w:t xml:space="preserve">commercial glasshouse-style building envelope</w:t>
      </w:r>
      <w:r w:rsidDel="00000000" w:rsidR="00000000" w:rsidRPr="00000000">
        <w:rPr>
          <w:rFonts w:ascii="Google Sans" w:cs="Google Sans" w:eastAsia="Google Sans" w:hAnsi="Google Sans"/>
          <w:color w:val="1f1f1f"/>
          <w:rtl w:val="0"/>
        </w:rPr>
        <w:t xml:space="preserve"> did feature an engineered system designed for climate and humidity regulation, though it approached the issue through </w:t>
      </w:r>
      <w:r w:rsidDel="00000000" w:rsidR="00000000" w:rsidRPr="00000000">
        <w:rPr>
          <w:rFonts w:ascii="Google Sans" w:cs="Google Sans" w:eastAsia="Google Sans" w:hAnsi="Google Sans"/>
          <w:b w:val="1"/>
          <w:bCs w:val="1"/>
          <w:color w:val="1f1f1f"/>
          <w:rtl w:val="0"/>
        </w:rPr>
        <w:t xml:space="preserve">passive and macro-environmental automated controls</w:t>
      </w:r>
      <w:r w:rsidDel="00000000" w:rsidR="00000000" w:rsidRPr="00000000">
        <w:rPr>
          <w:rFonts w:ascii="Google Sans" w:cs="Google Sans" w:eastAsia="Google Sans" w:hAnsi="Google Sans"/>
          <w:color w:val="1f1f1f"/>
          <w:rtl w:val="0"/>
        </w:rPr>
        <w:t xml:space="preserve"> rather than mechanical industrial dehumidifiers.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land-based marine RAS operating 170 open raceways at a continuous 27°C, managing ambient humidity is a severe engineering challenge—especially in Chinderah's naturally humid, sub-tropical climate. If left unmanaged, moisture accumulation leads to structural corrosion, rapid mold growth, and dangerous workspace condensation.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glasshouse design controlled the internal environment via three integrated subsystems: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Motorized Ridge Vents (Automated Air Exchange)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structure featured automated, motorized ridge vents along the roof line. Because hot, moisture-saturated air naturally rises above the warm water raceways, the PLC environmental controller would automatically crack open these ridge vents based on internal relative humidity (RH) and temperature thresholds. This allowed the facility to continuously purge humid air out of the roof while pulling drier, ambient fresh air through low-level louvers.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High-Exchange Air Circulation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main RAS relied on dual parallel ring blowers strictly to oxygenate and push air through the biofilters and raceway spouts, the building design incorporated large, automated horizontal airflow fans. These fans kept the air moving across the surface of the 5,400 sqm layout, preventing pockets of stagnant, hyper-humid air from forming over the grow-out floor.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Retractable Aluminized Shade-Screens ($185,000 Budget)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primarily built to reject summer solar radiation and maintain the 27°C water equilibrium, the automated shading system also directly impacted internal relative humidity. By actively controlling the internal radiant temperature, the system prevented dramatic swings in the air's moisture-holding capacity, curbing extreme dew point condensation events on the inside of the polycarbonate/glass panes.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Processing Divide (Hygienic Dehumidification)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important to note the financial model drew a strict operational boundary between the </w:t>
      </w:r>
      <w:r w:rsidDel="00000000" w:rsidR="00000000" w:rsidRPr="00000000">
        <w:rPr>
          <w:rFonts w:ascii="Google Sans" w:cs="Google Sans" w:eastAsia="Google Sans" w:hAnsi="Google Sans"/>
          <w:b w:val="1"/>
          <w:bCs w:val="1"/>
          <w:color w:val="1f1f1f"/>
          <w:rtl w:val="0"/>
        </w:rPr>
        <w:t xml:space="preserve">Main Grow-out Hall</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Uni Processing Room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Grow-out Hall (Glasshouse):</w:t>
      </w:r>
      <w:r w:rsidDel="00000000" w:rsidR="00000000" w:rsidRPr="00000000">
        <w:rPr>
          <w:rFonts w:ascii="Google Sans" w:cs="Google Sans" w:eastAsia="Google Sans" w:hAnsi="Google Sans"/>
          <w:color w:val="1f1f1f"/>
          <w:rtl w:val="0"/>
        </w:rPr>
        <w:t xml:space="preserve"> Relied entirely on the ridge vents and automated shading to exhaust high humidity.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Processing &amp; Packing Facility (The Clean Rooms):</w:t>
      </w:r>
      <w:r w:rsidDel="00000000" w:rsidR="00000000" w:rsidRPr="00000000">
        <w:rPr>
          <w:rFonts w:ascii="Google Sans" w:cs="Google Sans" w:eastAsia="Google Sans" w:hAnsi="Google Sans"/>
          <w:color w:val="1f1f1f"/>
          <w:rtl w:val="0"/>
        </w:rPr>
        <w:t xml:space="preserve"> Because DAFF export standards require strict micro-climate control, this 150–200 sqm interior zone featured a completely isolated, heavy-duty commercial HVAC system with integrated mechanical dehumidification and HEPA filtration to hold the rooms strictly at 10°C–12°C with low relative humidity.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