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Note: Project Mugenuni Interactive ROI Calculator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tool provides a dynamic financial overview for the proposed </w:t>
      </w:r>
      <w:r w:rsidDel="00000000" w:rsidR="00000000" w:rsidRPr="00000000">
        <w:rPr>
          <w:rFonts w:ascii="Google Sans" w:cs="Google Sans" w:eastAsia="Google Sans" w:hAnsi="Google Sans"/>
          <w:i w:val="1"/>
          <w:iCs w:val="1"/>
          <w:color w:val="1f1f1f"/>
          <w:rtl w:val="0"/>
        </w:rPr>
        <w:t xml:space="preserve">Tripneustes gratilla</w:t>
      </w:r>
      <w:r w:rsidDel="00000000" w:rsidR="00000000" w:rsidRPr="00000000">
        <w:rPr>
          <w:rFonts w:ascii="Google Sans" w:cs="Google Sans" w:eastAsia="Google Sans" w:hAnsi="Google Sans"/>
          <w:color w:val="1f1f1f"/>
          <w:rtl w:val="0"/>
        </w:rPr>
        <w:t xml:space="preserve"> (sea urchin) farming operation. It allows potential investors to adjust key variables—such as grow-out mortality rates, market pricing per unit, and initial capex requirements—to see real-time projections for Return on Investment (ROI) and the estimated break-even timeline.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the Calculator Here: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 to your Streamlit App URL]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How to use this tool: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Operational Inputs:</w:t>
      </w:r>
      <w:r w:rsidDel="00000000" w:rsidR="00000000" w:rsidRPr="00000000">
        <w:rPr>
          <w:rFonts w:ascii="Google Sans" w:cs="Google Sans" w:eastAsia="Google Sans" w:hAnsi="Google Sans"/>
          <w:color w:val="1f1f1f"/>
          <w:rtl w:val="0"/>
        </w:rPr>
        <w:t xml:space="preserve"> Adjust the sliding scales for survival rates based on the 3.5-year commercial-scale trial data.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Market Variables:</w:t>
      </w:r>
      <w:r w:rsidDel="00000000" w:rsidR="00000000" w:rsidRPr="00000000">
        <w:rPr>
          <w:rFonts w:ascii="Google Sans" w:cs="Google Sans" w:eastAsia="Google Sans" w:hAnsi="Google Sans"/>
          <w:color w:val="1f1f1f"/>
          <w:rtl w:val="0"/>
        </w:rPr>
        <w:t xml:space="preserve"> Input projected wholesale prices for A-grade Uni in target markets (e.g., Japan, Sydney, or Melbourne).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Scenario Planning:</w:t>
      </w:r>
      <w:r w:rsidDel="00000000" w:rsidR="00000000" w:rsidRPr="00000000">
        <w:rPr>
          <w:rFonts w:ascii="Google Sans" w:cs="Google Sans" w:eastAsia="Google Sans" w:hAnsi="Google Sans"/>
          <w:color w:val="1f1f1f"/>
          <w:rtl w:val="0"/>
        </w:rPr>
        <w:t xml:space="preserve"> Toggle between the "Pilot Scale" and "Full Commercial Flow-Through System" models.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Note to Viewers:</w:t>
      </w:r>
      <w:r w:rsidDel="00000000" w:rsidR="00000000" w:rsidRPr="00000000">
        <w:rPr>
          <w:rFonts w:ascii="Google Sans" w:cs="Google Sans" w:eastAsia="Google Sans" w:hAnsi="Google Sans"/>
          <w:color w:val="1f1f1f"/>
          <w:rtl w:val="0"/>
        </w:rPr>
        <w:t xml:space="preserve"> The underlying logic for this calculator is derived from the comprehensive Mugenuni Business Plan and the farming manual developed from our trial data. If you have questions regarding the specific biological or financial assumptions used in these calculations, please ask the AI assistant in this notebook for clarification.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 this link for the calculator:  </w:t>
      </w:r>
      <w:hyperlink r:id="rId6">
        <w:r w:rsidDel="00000000" w:rsidR="00000000" w:rsidRPr="00000000">
          <w:rPr>
            <w:rFonts w:ascii="Google Sans" w:cs="Google Sans" w:eastAsia="Google Sans" w:hAnsi="Google Sans"/>
            <w:color w:val="1155cc"/>
            <w:u w:val="single"/>
            <w:rtl w:val="0"/>
          </w:rPr>
          <w:t xml:space="preserve">https://mugenuni-app-pgc2q2dievd2vqzpjn2xyx.streamlit.app/</w:t>
        </w:r>
      </w:hyperlink>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ugenuni-app-pgc2q2dievd2vqzpjn2xyx.streamlit.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