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Estimate: Grow-Out Raceway Infrastructure &amp; Habitat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System Requirements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Production Scale:</w:t>
      </w:r>
      <w:r w:rsidDel="00000000" w:rsidR="00000000" w:rsidRPr="00000000">
        <w:rPr>
          <w:rFonts w:ascii="Google Sans" w:cs="Google Sans" w:eastAsia="Google Sans" w:hAnsi="Google Sans"/>
          <w:color w:val="1f1f1f"/>
          <w:rtl w:val="0"/>
        </w:rPr>
        <w:t xml:space="preserve"> 170 commercial grow-out raceways required to maintain the 7-month grow-out cycle and achieve the 50,000-unit monthly harvest pulse.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 Dimensions:</w:t>
      </w:r>
      <w:r w:rsidDel="00000000" w:rsidR="00000000" w:rsidRPr="00000000">
        <w:rPr>
          <w:rFonts w:ascii="Google Sans" w:cs="Google Sans" w:eastAsia="Google Sans" w:hAnsi="Google Sans"/>
          <w:color w:val="1f1f1f"/>
          <w:rtl w:val="0"/>
        </w:rPr>
        <w:t xml:space="preserve"> Each raceway measures 11.5 m (L) x 1.22 m (W) x 0.3 m (H), constructed from 15 mm Celuka (PVC Foam Board) left untrimmed to maximize lateral flow.</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Habitat Design:</w:t>
      </w:r>
      <w:r w:rsidDel="00000000" w:rsidR="00000000" w:rsidRPr="00000000">
        <w:rPr>
          <w:rFonts w:ascii="Google Sans" w:cs="Google Sans" w:eastAsia="Google Sans" w:hAnsi="Google Sans"/>
          <w:color w:val="1f1f1f"/>
          <w:rtl w:val="0"/>
        </w:rPr>
        <w:t xml:space="preserve"> Each raceway features a vertical stack configuration containing 10 suspended trays (0.910 m x 0.930 m). Trays are fitted with 8 mm plastic mesh and internal dividers, providing 1.6 m² to 1.7 m² of benthic grazing area per tray.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Propulsion &amp; Flow:</w:t>
      </w:r>
      <w:r w:rsidDel="00000000" w:rsidR="00000000" w:rsidRPr="00000000">
        <w:rPr>
          <w:rFonts w:ascii="Google Sans" w:cs="Google Sans" w:eastAsia="Google Sans" w:hAnsi="Google Sans"/>
          <w:color w:val="1f1f1f"/>
          <w:rtl w:val="0"/>
        </w:rPr>
        <w:t xml:space="preserve"> Internal hydrodynamics and the 1.0 turnover/hour (2,640 L/hr) exchange rate are driven by dedicated 0.75kW Variable Frequency Drive (VFD) paddlewheels.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Unit CAPEX Breakdown (Per Raceway, AUD)</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Material (15 mm Celuka):</w:t>
      </w:r>
      <w:r w:rsidDel="00000000" w:rsidR="00000000" w:rsidRPr="00000000">
        <w:rPr>
          <w:rFonts w:ascii="Google Sans" w:cs="Google Sans" w:eastAsia="Google Sans" w:hAnsi="Google Sans"/>
          <w:color w:val="1f1f1f"/>
          <w:rtl w:val="0"/>
        </w:rPr>
        <w:t xml:space="preserve"> 8 sheets (2440x1220) to cover base, walls, ends, and power bay divider: $920.00</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Propulsion Hardware:</w:t>
      </w:r>
      <w:r w:rsidDel="00000000" w:rsidR="00000000" w:rsidRPr="00000000">
        <w:rPr>
          <w:rFonts w:ascii="Google Sans" w:cs="Google Sans" w:eastAsia="Google Sans" w:hAnsi="Google Sans"/>
          <w:color w:val="1f1f1f"/>
          <w:rtl w:val="0"/>
        </w:rPr>
        <w:t xml:space="preserve"> 0.75kW Paddlewheel with Single-to-Three-Phase VFD Controller: $750.00</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Individual Tank Plumbing:</w:t>
      </w:r>
      <w:r w:rsidDel="00000000" w:rsidR="00000000" w:rsidRPr="00000000">
        <w:rPr>
          <w:rFonts w:ascii="Google Sans" w:cs="Google Sans" w:eastAsia="Google Sans" w:hAnsi="Google Sans"/>
          <w:color w:val="1f1f1f"/>
          <w:rtl w:val="0"/>
        </w:rPr>
        <w:t xml:space="preserve"> 100mm Flush Valve, bulkheads, inlets, and 15 mm fiberglass suspension rods: $400.00</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Shared Seawater Manifold:</w:t>
      </w:r>
      <w:r w:rsidDel="00000000" w:rsidR="00000000" w:rsidRPr="00000000">
        <w:rPr>
          <w:rFonts w:ascii="Google Sans" w:cs="Google Sans" w:eastAsia="Google Sans" w:hAnsi="Google Sans"/>
          <w:color w:val="1f1f1f"/>
          <w:rtl w:val="0"/>
        </w:rPr>
        <w:t xml:space="preserve"> Apportioned cost (1/10th) of the 150mm pressure main feeding a 10-raceway block: $250.00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Grow-Out Trays:</w:t>
      </w:r>
      <w:r w:rsidDel="00000000" w:rsidR="00000000" w:rsidRPr="00000000">
        <w:rPr>
          <w:rFonts w:ascii="Google Sans" w:cs="Google Sans" w:eastAsia="Google Sans" w:hAnsi="Google Sans"/>
          <w:color w:val="1f1f1f"/>
          <w:rtl w:val="0"/>
        </w:rPr>
        <w:t xml:space="preserve"> 10 fully assembled trays with 8mm mesh @ $80.00 each: $800.00</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Unit CAPEX: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$3,120.00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Facility-Scale CAPEX &amp; OPEX (170 Raceways, AUD)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Facility CAPEX (Hardware Only):</w:t>
      </w:r>
      <w:r w:rsidDel="00000000" w:rsidR="00000000" w:rsidRPr="00000000">
        <w:rPr>
          <w:rFonts w:ascii="Google Sans" w:cs="Google Sans" w:eastAsia="Google Sans" w:hAnsi="Google Sans"/>
          <w:color w:val="1f1f1f"/>
          <w:rtl w:val="0"/>
        </w:rPr>
        <w:t xml:space="preserve"> 170 units × $3,120.00 = $530,400.00</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Contingency (15%):</w:t>
      </w:r>
      <w:r w:rsidDel="00000000" w:rsidR="00000000" w:rsidRPr="00000000">
        <w:rPr>
          <w:rFonts w:ascii="Google Sans" w:cs="Google Sans" w:eastAsia="Google Sans" w:hAnsi="Google Sans"/>
          <w:color w:val="1f1f1f"/>
          <w:rtl w:val="0"/>
        </w:rPr>
        <w:t xml:space="preserve"> $79,560.00</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Subsystem CAPEX: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$609,960.00</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Annual Facility OPEX (Electricity):</w:t>
      </w:r>
      <w:r w:rsidDel="00000000" w:rsidR="00000000" w:rsidRPr="00000000">
        <w:rPr>
          <w:rFonts w:ascii="Google Sans" w:cs="Google Sans" w:eastAsia="Google Sans" w:hAnsi="Google Sans"/>
          <w:color w:val="1f1f1f"/>
          <w:rtl w:val="0"/>
        </w:rPr>
        <w:t xml:space="preserve"> 170 paddlewheels (0.75kW) running 24/7 (18 kWh/day @ $0.32/kWh NSW Commercial Rate) = </w:t>
      </w:r>
      <w:r w:rsidDel="00000000" w:rsidR="00000000" w:rsidRPr="00000000">
        <w:rPr>
          <w:rFonts w:ascii="Google Sans" w:cs="Google Sans" w:eastAsia="Google Sans" w:hAnsi="Google Sans"/>
          <w:b w:val="1"/>
          <w:bCs w:val="1"/>
          <w:color w:val="1f1f1f"/>
          <w:rtl w:val="0"/>
        </w:rPr>
        <w:t xml:space="preserve">$357,408.00 / year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(Note: Excludes direct labor for the 7-minute sweep cleaning and main seawater pumping, which are accounted for in the facility-wide OPEX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Strategic Investor Notes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OPEX Mitigation via Renewable Integration (Solar/VPP):</w:t>
      </w:r>
      <w:r w:rsidDel="00000000" w:rsidR="00000000" w:rsidRPr="00000000">
        <w:rPr>
          <w:rFonts w:ascii="Google Sans" w:cs="Google Sans" w:eastAsia="Google Sans" w:hAnsi="Google Sans"/>
          <w:color w:val="1f1f1f"/>
          <w:rtl w:val="0"/>
        </w:rPr>
        <w:t xml:space="preserve"> The $357k annual electricity expenditure for the paddlewheel array represents a primary target for operational cost-reduction. The facility design will incorporate a commercial solar array with battery storage, taking advantage of the Federal STC scheme and NSW Virtual Power Plant (VPP) incentives in 2026. This will heavily subsidize daytime running costs and dramatically accelerate the Return on Investment (ROI) over the 3.5-year crop cycle.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VFD Optimization:</w:t>
      </w:r>
      <w:r w:rsidDel="00000000" w:rsidR="00000000" w:rsidRPr="00000000">
        <w:rPr>
          <w:rFonts w:ascii="Google Sans" w:cs="Google Sans" w:eastAsia="Google Sans" w:hAnsi="Google Sans"/>
          <w:color w:val="1f1f1f"/>
          <w:rtl w:val="0"/>
        </w:rPr>
        <w:t xml:space="preserve"> The use of Variable Frequency Drives allows motor speeds to be dialed back during the early nursery phases (0.5 turnovers/hr), meaning actual power consumption will be 20-30% lower than this conservative, full-load financial model.</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Government Alignment &amp; Grant Potential:</w:t>
      </w:r>
      <w:r w:rsidDel="00000000" w:rsidR="00000000" w:rsidRPr="00000000">
        <w:rPr>
          <w:rFonts w:ascii="Google Sans" w:cs="Google Sans" w:eastAsia="Google Sans" w:hAnsi="Google Sans"/>
          <w:color w:val="1f1f1f"/>
          <w:rtl w:val="0"/>
        </w:rPr>
        <w:t xml:space="preserve"> Locating this facility in Northern NSW aligns perfectly with the NSW Government's "Aquaculture Vision Statement," which targets doubling the state's aquaculture farmgate production to $300 million by 2030. The sustainable, land-based nature of this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project positions Mugenuni Pty Ltd as an ideal candidate for a portion of the recent $20 million state funding injections targeting sustainable seafood, climate resilience, and marine bioproducts.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