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Land-Based Conditioning Protocols for Tripneustes gratilla: Synergistic Applications of Biomimicry Dietary Blends and Monochromatic Photobiology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Modern Echinoderm Aquaculture and Market Dynamics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commercial market for sea urchin gonads, colloquially known as roe or "uni," has experienced unprecedented demand over the past three decades, fundamentally outstripping the regenerative capacity of wild echinoderm populations. Consequently, wild-capture fisheries across the Indo-Pacific, temperate Australia, and the Northern Hemisphere have faced systemic depletion, driving a global imperative to domesticate key species and transition production toward highly controlled, land-based aquaculture systems. Among the numerous species evaluated for commercial cultivation, the tropical and sub-tropical collector urchin, </w:t>
      </w:r>
      <w:r w:rsidDel="00000000" w:rsidR="00000000" w:rsidRPr="00000000">
        <w:rPr>
          <w:rFonts w:ascii="Google Sans" w:cs="Google Sans" w:eastAsia="Google Sans" w:hAnsi="Google Sans"/>
          <w:i w:val="1"/>
          <w:iCs w:val="1"/>
          <w:color w:val="1f1f1f"/>
          <w:rtl w:val="0"/>
        </w:rPr>
        <w:t xml:space="preserve">Tripneustes gratilla</w:t>
      </w:r>
      <w:r w:rsidDel="00000000" w:rsidR="00000000" w:rsidRPr="00000000">
        <w:rPr>
          <w:rFonts w:ascii="Google Sans" w:cs="Google Sans" w:eastAsia="Google Sans" w:hAnsi="Google Sans"/>
          <w:color w:val="1f1f1f"/>
          <w:rtl w:val="0"/>
        </w:rPr>
        <w:t xml:space="preserve">, has emerged as an ideal candidate. This species is characterized by an exceptionally rapid baseline growth rate, a highly adaptable generalist foraging ecology, and a gonad organoleptic profile that commands premium valuation in global seafood markets.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aquaculture of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operates on a strictly biphasic biological continuum. The production cycle requires the initial optimization of somatic growth—maximizing the test diameter and the overall calcified biomass—followed sequentially by a specialized conditioning phase dedicated exclusively to the fattening and biochemical refinement of the gonad.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Historically, the industry relied on opportunistic feeding strategies utilizing single-species macroalgal diets or generic formulated pellets, which frequently resulted in sub-optimal Gonad Indices (</w:t>
      </w:r>
      <w:r w:rsidDel="00000000" w:rsidR="00000000" w:rsidRPr="00000000">
        <w:rPr>
          <w:rFonts w:ascii="Google Sans" w:cs="Google Sans" w:eastAsia="Google Sans" w:hAnsi="Google Sans"/>
          <w:color w:val="1f1f1f"/>
        </w:rPr>
        <w:drawing>
          <wp:inline distB="19050" distT="19050" distL="19050" distR="19050">
            <wp:extent cx="240655" cy="231029"/>
            <wp:effectExtent b="0" l="0" r="0" t="0"/>
            <wp:docPr id="1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40655" cy="2310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inconsistent coloration, and unpalatable taste profiles. However, recent advancements have systematically deconstructed the physiological requirements of this species.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compendium of March 2026 reports detailing extensive trials conducted by Southern Cross University (SCU) and James Cook University (JCU) marks a critical evolutionary step in holding-facility methodologies.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comprehensive evaluations highlight that maximizing the </w:t>
      </w:r>
      <w:r w:rsidDel="00000000" w:rsidR="00000000" w:rsidRPr="00000000">
        <w:rPr>
          <w:rFonts w:ascii="Google Sans" w:cs="Google Sans" w:eastAsia="Google Sans" w:hAnsi="Google Sans"/>
          <w:color w:val="1f1f1f"/>
        </w:rPr>
        <w:drawing>
          <wp:inline distB="19050" distT="19050" distL="19050" distR="19050">
            <wp:extent cx="240655" cy="231029"/>
            <wp:effectExtent b="0" l="0" r="0" t="0"/>
            <wp:docPr id="1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40655" cy="2310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alongside premier color and sensory quality necessitates a holistic, multi-variable environmental strategy. By moving decisively beyond simplistic caloric provision, the latest land-based paradigms integrate the physical optimization of holding infrastructure, quantitative genetic management, advanced nutritional biomimicry utilizing specific "brown-dominant" macroalgal blends, and the groundbreaking application of monochromatic blue light (</w:t>
      </w:r>
      <w:r w:rsidDel="00000000" w:rsidR="00000000" w:rsidRPr="00000000">
        <w:rPr>
          <w:rFonts w:ascii="Google Sans" w:cs="Google Sans" w:eastAsia="Google Sans" w:hAnsi="Google Sans"/>
          <w:color w:val="1f1f1f"/>
        </w:rPr>
        <w:drawing>
          <wp:inline distB="19050" distT="19050" distL="19050" distR="19050">
            <wp:extent cx="886420" cy="228754"/>
            <wp:effectExtent b="0" l="0" r="0" t="0"/>
            <wp:docPr id="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86420" cy="2287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modulate neuroendocrine and enzymatic pathways.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ensuing report provides an exhaustive, mechanistic examination of these interrelated variables, synthesizing recent trial data to establish definitive, commercially viable protocols for land-based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conditioning.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Climate Stressors, Ontogenetic Plasticity, and the Imperative for Land-Based Systems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contextualize the necessity of precise land-based conditioning environments, one must first examine the physiological vulnerabilities of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to shifting climatic variables in marine environments. While land-based Recirculating Aquaculture Systems (RAS) insulate urchins from acute marine weather events, the water sourced for these facilities—or the conditions experienced by the organism during earlier marine-based nursery phases—carries the legacy of ocean acidification and thermal shifts. Understanding the physiological baselines of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under these stressors provides the foundational rationale for rigorous environmental control.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Long-term acclimation studies tracking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from early juvenile stages (approximately 5 mm test diameter) through the complex developmental transition to mature adults (60 mm test diameter) demonstrate highly interactive, and often detrimental, responses to elevated </w:t>
      </w:r>
      <w:r w:rsidDel="00000000" w:rsidR="00000000" w:rsidRPr="00000000">
        <w:rPr>
          <w:rFonts w:ascii="Google Sans" w:cs="Google Sans" w:eastAsia="Google Sans" w:hAnsi="Google Sans"/>
          <w:color w:val="1f1f1f"/>
        </w:rPr>
        <w:drawing>
          <wp:inline distB="19050" distT="19050" distL="19050" distR="19050">
            <wp:extent cx="443210" cy="226320"/>
            <wp:effectExtent b="0" l="0" r="0" t="0"/>
            <wp:docPr id="1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3210" cy="2263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shifting temperature regimes.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Thermal elevation, specifically increases of +3°C and +6°C relative to ambient regional temperatures, actively accelerates initial somatic growth. Under combined near-future warming and moderate acidification scenarios (+3°C and pH 7.8),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exhibits the capacity to reach larger overall sizes at maturity.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inherent thermal plasticity acts as a physiological advantage in controlled aquaculture settings, where managers can leverage slightly elevated water temperatures to artificially accelerate the somatic grow-out phase before initiating gonad conditioning protocols.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ocean acidification acts as a severe, non-negotiable biological bottleneck, specifically concerning the development of the reproductive organs. While the organism demonstrates a capacity to survive and maintain somatic growth at a moderately reduced pH of 7.8, a further drop to pH 7.6 critically impairs internal physiological functions.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At pH 7.6, the inability of the sea urchin to adequately compensate for acid-base imbalances within its coelomic fluid severely restricts calcification and metabolic efficiency.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More alarmingly for the commercial aquaculture sector, at pH 7.6,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virtually ceases gonad production entirely. The organism is forced into a survival-centric metabolic state, reallocating all available energetic resources to somatic maintenance and stress mitigation, regardless of the ambient temperature or the abundance of available feed.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Therefore, land-based conditioning systems must employ strict, non-fluctuating chemical buffering protocols to ensure pH parameters remain optimal. Chronic exposure to acidified conditions permanently alters the urchin's resource allocation matrix away from reproduction, rendering any subsequent dietary or photobiological interventions highly ineffective.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Infrastructure Optimization: Spatial Architecture and Benthic Kinetics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advanced nutritional and photobiological variables can be successfully applied, the physical holding environment must be calibrated to align with the behavioral ecology and spatial constraints of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Land-based RAS facilities offer unparalleled control over water quality, but the spatial architecture of the holding units significantly dictates both feeding efficiency and baseline systemic stress levels.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Basket Depth and Foraging Energetics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investigations into the structural holding infrastructure for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have fundamentally challenged traditional industry assumptions regarding spatial volume utilization. Basket height and horizontal stocking density act as interconnected vectors that ultimately determine the net commercial yield of a facility. Contrary to earlier operational standards that heavily favored deeper holding units under the assumption that maximizing vertical water column space would yield higher biomass per tank, empirical trials demonstrate that deep baskets (approximately 30 cm in depth) actively inhibit feed consumption and subsequent growth.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 urchins navigate and forage using a complex water vascular system and thousands of hydraulically operated tube feet. Vertical climbing requires a significantly higher expenditure of metabolic energy compared to horizontal benthic movement. Urchins held in shallow baskets (approximately 15 cm deep) exhibit significantly higher consumption rates of both fresh macroalgae, such as </w:t>
      </w:r>
      <w:r w:rsidDel="00000000" w:rsidR="00000000" w:rsidRPr="00000000">
        <w:rPr>
          <w:rFonts w:ascii="Google Sans" w:cs="Google Sans" w:eastAsia="Google Sans" w:hAnsi="Google Sans"/>
          <w:i w:val="1"/>
          <w:iCs w:val="1"/>
          <w:color w:val="1f1f1f"/>
          <w:rtl w:val="0"/>
        </w:rPr>
        <w:t xml:space="preserve">Ulva lacinulata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71022" cy="229250"/>
            <wp:effectExtent b="0" l="0" r="0" t="0"/>
            <wp:docPr id="16"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471022" cy="229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pelleted formulated feeds (</w:t>
      </w:r>
      <w:r w:rsidDel="00000000" w:rsidR="00000000" w:rsidRPr="00000000">
        <w:rPr>
          <w:rFonts w:ascii="Google Sans" w:cs="Google Sans" w:eastAsia="Google Sans" w:hAnsi="Google Sans"/>
          <w:color w:val="1f1f1f"/>
        </w:rPr>
        <w:drawing>
          <wp:inline distB="19050" distT="19050" distL="19050" distR="19050">
            <wp:extent cx="1614488" cy="227928"/>
            <wp:effectExtent b="0" l="0" r="0" t="0"/>
            <wp:docPr id="1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614488" cy="2279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compared to their counterparts in deeper enclosures.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behavioral mechanism underlying this operational shift relates directly to the natural benthic foraging strategies of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which favor uninterrupted horizontal movement over complex vertical navigation when accessing standardized feed rations.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the definitive commercial recommendation dictates the implementation of 15 cm shallow baskets to maximize the physical interface between the organism and the feed substrate, thereby minimizing energy wasted on locomotion.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Stocking Density and Yield Trade-Offs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Stocking density introduces a secondary layer of operational and biological complexity to the physical infrastructure design. Optimizing the biomass-to-volume ratio is essential for the economic viability of land-based facilities. Extensive trials evaluating production at different stocking densities—specifically 4, 6, and 8 kg/m² (equating to 13%, 19%, and 24% coverage of the available basket surface area, respectively)—reveal a distinct biological trade-off that facility managers must navigate.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Increased stocking density predictably and significantly reduces the specific growth rates (SGR) of individual urchin mass (</w:t>
      </w:r>
      <w:r w:rsidDel="00000000" w:rsidR="00000000" w:rsidRPr="00000000">
        <w:rPr>
          <w:rFonts w:ascii="Google Sans" w:cs="Google Sans" w:eastAsia="Google Sans" w:hAnsi="Google Sans"/>
          <w:color w:val="1f1f1f"/>
        </w:rPr>
        <w:drawing>
          <wp:inline distB="19050" distT="19050" distL="19050" distR="19050">
            <wp:extent cx="758875" cy="227662"/>
            <wp:effectExtent b="0" l="0" r="0" t="0"/>
            <wp:docPr id="1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758875" cy="2276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reduction is driven by localized spatial competition, minor territorial displacement during feeding, and potential micro-depletions of dissolved oxygen immediately adjacent to densely packed clusters of urchins. However, from a macro-economic perspective, these elevated densities exhibit no statistically significant negative impacts on absolute mortality rates, net production volume per square meter, or, crucially, the ultimate size and sensory quality of the gonads produced.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commercial operators, this biological data indicates that facilities can safely operate at the upper density threshold of 8 kg/m² (24% surface coverage) to maximize total facility output and return on investment, provided that water flow rates and dissolved oxygen parameters are strictly monitored and maintained.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summarizes the optimal physical parameters for holding infrastructure based on the latest SCU/JCU trial data.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Tested Variable Spectrum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Operational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Biological and Economic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Basket Depth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cm vs. 30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cm (Shallow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Significantly higher feed consumption (</w:t>
            </w:r>
            <w:r w:rsidDel="00000000" w:rsidR="00000000" w:rsidRPr="00000000">
              <w:rPr>
                <w:rFonts w:ascii="Google Sans" w:cs="Google Sans" w:eastAsia="Google Sans" w:hAnsi="Google Sans"/>
                <w:color w:val="1f1f1f"/>
                <w:shd w:fill="auto" w:val="clear"/>
              </w:rPr>
              <w:drawing>
                <wp:inline distB="19050" distT="19050" distL="19050" distR="19050">
                  <wp:extent cx="664072" cy="199221"/>
                  <wp:effectExtent b="0" l="0" r="0" t="0"/>
                  <wp:docPr id="2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64072" cy="1992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optimized horizontal foraging energetics.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Stocking Density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6, and 8 kg/m²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kg/m² (24% surface coverage)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Reduced individual SGR, but maximized net facility biomass output without mortality or quality penalties.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Emersion Transport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4°C, 12°C, 27°C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~12°C (Cooled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Mitigates rapid desiccation and metabolic exhaustion during 6-48h live transit out of water post-harvest.</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Nutritional Biomimicry: The Evolution of the "Brown-Dominant" Strategy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nutritional requirements of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have historically been addressed using simplistic single-species macroalgal diets or highly processed, standardized pelleted feeds. While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is ecologically categorized as a generalist herbivore capable of processing a wide variety of marine flora, empirical preference and physiological performance experiments involving 29 distinct algal species reveal strong, consistent, and highly specific dietary hierarchies.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collector urchin demonstrates minimal discriminatory behavior among brown algae species, readily consuming most available morphotypes, but exhibits highly specific discrimination concerning red and green algae.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Performance metrics derived from these extensive SCU/JCU feeding trials indicate that single-species red algal diets (e.g., utilizing </w:t>
      </w:r>
      <w:r w:rsidDel="00000000" w:rsidR="00000000" w:rsidRPr="00000000">
        <w:rPr>
          <w:rFonts w:ascii="Google Sans" w:cs="Google Sans" w:eastAsia="Google Sans" w:hAnsi="Google Sans"/>
          <w:i w:val="1"/>
          <w:iCs w:val="1"/>
          <w:color w:val="1f1f1f"/>
          <w:rtl w:val="0"/>
        </w:rPr>
        <w:t xml:space="preserve">Hypnea pannosa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Laurencia intricata</w:t>
      </w:r>
      <w:r w:rsidDel="00000000" w:rsidR="00000000" w:rsidRPr="00000000">
        <w:rPr>
          <w:rFonts w:ascii="Google Sans" w:cs="Google Sans" w:eastAsia="Google Sans" w:hAnsi="Google Sans"/>
          <w:color w:val="1f1f1f"/>
          <w:rtl w:val="0"/>
        </w:rPr>
        <w:t xml:space="preserve">) yield unacceptably poor somatic growth and sub-optimal gonad development.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brown algae—and critically, carefully curated mixed diets incorporating multiple phylogenetic algal lines—provide the highest absolute growth rates, maximal test diameter expansion, and superior overall gonad yields.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findings have led to the codification of the "Brown-Dominant" Strategy in March 2026. This protocol represents a synergistic biomimicry blend designed explicitly to move beyond single-species limitations, simultaneously satisfying the urchin's complex requirements for caloric density, essential micronutrients, pigment accumulation, and mechanical foraging stimulation.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Caloric Drivers: </w:t>
      </w:r>
      <w:r w:rsidDel="00000000" w:rsidR="00000000" w:rsidRPr="00000000">
        <w:rPr>
          <w:rFonts w:ascii="Google Sans" w:cs="Google Sans" w:eastAsia="Google Sans" w:hAnsi="Google Sans"/>
          <w:b w:val="1"/>
          <w:bCs w:val="1"/>
          <w:i w:val="1"/>
          <w:iCs w:val="1"/>
          <w:color w:val="1f1f1f"/>
          <w:sz w:val="28"/>
          <w:szCs w:val="28"/>
          <w:rtl w:val="0"/>
        </w:rPr>
        <w:t xml:space="preserve">Sargassum flavicans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i w:val="1"/>
          <w:iCs w:val="1"/>
          <w:color w:val="1f1f1f"/>
          <w:sz w:val="28"/>
          <w:szCs w:val="28"/>
          <w:rtl w:val="0"/>
        </w:rPr>
        <w:t xml:space="preserve">Cystoseira</w:t>
      </w:r>
      <w:r w:rsidDel="00000000" w:rsidR="00000000" w:rsidRPr="00000000">
        <w:rPr>
          <w:rFonts w:ascii="Google Sans" w:cs="Google Sans" w:eastAsia="Google Sans" w:hAnsi="Google Sans"/>
          <w:color w:val="1f1f1f"/>
          <w:rtl w:val="0"/>
        </w:rPr>
        <w:t xml:space="preserve"> (60% Inclusion)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metabolic foundation of the biomimicry conditioning blend relies on a strict 60% inclusion of robust brown algae, predominantly </w:t>
      </w:r>
      <w:r w:rsidDel="00000000" w:rsidR="00000000" w:rsidRPr="00000000">
        <w:rPr>
          <w:rFonts w:ascii="Google Sans" w:cs="Google Sans" w:eastAsia="Google Sans" w:hAnsi="Google Sans"/>
          <w:i w:val="1"/>
          <w:iCs w:val="1"/>
          <w:color w:val="1f1f1f"/>
          <w:rtl w:val="0"/>
        </w:rPr>
        <w:t xml:space="preserve">Sargassum flavicans</w:t>
      </w:r>
      <w:r w:rsidDel="00000000" w:rsidR="00000000" w:rsidRPr="00000000">
        <w:rPr>
          <w:rFonts w:ascii="Google Sans" w:cs="Google Sans" w:eastAsia="Google Sans" w:hAnsi="Google Sans"/>
          <w:color w:val="1f1f1f"/>
          <w:rtl w:val="0"/>
        </w:rPr>
        <w:t xml:space="preserve"> and allied species within the genus </w:t>
      </w:r>
      <w:r w:rsidDel="00000000" w:rsidR="00000000" w:rsidRPr="00000000">
        <w:rPr>
          <w:rFonts w:ascii="Google Sans" w:cs="Google Sans" w:eastAsia="Google Sans" w:hAnsi="Google Sans"/>
          <w:i w:val="1"/>
          <w:iCs w:val="1"/>
          <w:color w:val="1f1f1f"/>
          <w:rtl w:val="0"/>
        </w:rPr>
        <w:t xml:space="preserve">Cystoseira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specific macroalgae are meticulously selected for their exceptionally high caloric density and their complex, easily metabolizable carbohydrate profiles. In both choice and no-choice laboratory experiments, consumption rates (</w:t>
      </w:r>
      <w:r w:rsidDel="00000000" w:rsidR="00000000" w:rsidRPr="00000000">
        <w:rPr>
          <w:rFonts w:ascii="Google Sans" w:cs="Google Sans" w:eastAsia="Google Sans" w:hAnsi="Google Sans"/>
          <w:color w:val="1f1f1f"/>
        </w:rPr>
        <w:drawing>
          <wp:inline distB="19050" distT="19050" distL="19050" distR="19050">
            <wp:extent cx="502147" cy="227387"/>
            <wp:effectExtent b="0" l="0" r="0" t="0"/>
            <wp:docPr id="2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02147" cy="227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align overwhelmingly with these species, functioning as the primary bio-energetic engine that drives rapid somatic growth during the pre-conditioning and active conditioning phases.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Brown algae are uniquely rich in specific structural polysaccharides, such as alginates, laminarin, and fucoidan, which the gastrointestinal microbiome and endogenous digestive enzymes of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are evolutionarily adapted to metabolize with high efficiency. The inclusion of the </w:t>
      </w:r>
      <w:r w:rsidDel="00000000" w:rsidR="00000000" w:rsidRPr="00000000">
        <w:rPr>
          <w:rFonts w:ascii="Google Sans" w:cs="Google Sans" w:eastAsia="Google Sans" w:hAnsi="Google Sans"/>
          <w:i w:val="1"/>
          <w:iCs w:val="1"/>
          <w:color w:val="1f1f1f"/>
          <w:rtl w:val="0"/>
        </w:rPr>
        <w:t xml:space="preserve">Sargassum/Cystoseira</w:t>
      </w:r>
      <w:r w:rsidDel="00000000" w:rsidR="00000000" w:rsidRPr="00000000">
        <w:rPr>
          <w:rFonts w:ascii="Google Sans" w:cs="Google Sans" w:eastAsia="Google Sans" w:hAnsi="Google Sans"/>
          <w:color w:val="1f1f1f"/>
          <w:rtl w:val="0"/>
        </w:rPr>
        <w:t xml:space="preserve"> matrix at a dominant 60% ratio ensures that the basal metabolic requirements for continuous test expansion, spine regeneration, and basic cellular maintenance are fully satisfied. By meeting these baseline energetic demands through optimal carbohydrate pathways, the diet prevents the urchin from catabolizing essential dietary proteins, ensuring that those vital nitrogenous resources are instead strictly partitioned toward gametogenesis and the rapid physical expansion of the gonad tissue.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combined with the secondary and functional dietary components, this brown algal base provides a holistic performance matrix that mathematical models of single-species diets simply cannot achieve.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Biochemical Modulators: </w:t>
      </w:r>
      <w:r w:rsidDel="00000000" w:rsidR="00000000" w:rsidRPr="00000000">
        <w:rPr>
          <w:rFonts w:ascii="Google Sans" w:cs="Google Sans" w:eastAsia="Google Sans" w:hAnsi="Google Sans"/>
          <w:b w:val="1"/>
          <w:bCs w:val="1"/>
          <w:i w:val="1"/>
          <w:iCs w:val="1"/>
          <w:color w:val="1f1f1f"/>
          <w:sz w:val="28"/>
          <w:szCs w:val="28"/>
          <w:rtl w:val="0"/>
        </w:rPr>
        <w:t xml:space="preserve">Ulva lacinulata</w:t>
      </w:r>
      <w:r w:rsidDel="00000000" w:rsidR="00000000" w:rsidRPr="00000000">
        <w:rPr>
          <w:rFonts w:ascii="Google Sans" w:cs="Google Sans" w:eastAsia="Google Sans" w:hAnsi="Google Sans"/>
          <w:color w:val="1f1f1f"/>
          <w:rtl w:val="0"/>
        </w:rPr>
        <w:t xml:space="preserve"> (30% Inclusion)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a tightly regulated 30% inclusion rate, the green macroalga </w:t>
      </w:r>
      <w:r w:rsidDel="00000000" w:rsidR="00000000" w:rsidRPr="00000000">
        <w:rPr>
          <w:rFonts w:ascii="Google Sans" w:cs="Google Sans" w:eastAsia="Google Sans" w:hAnsi="Google Sans"/>
          <w:i w:val="1"/>
          <w:iCs w:val="1"/>
          <w:color w:val="1f1f1f"/>
          <w:rtl w:val="0"/>
        </w:rPr>
        <w:t xml:space="preserve">Ulva lacinulata</w:t>
      </w:r>
      <w:r w:rsidDel="00000000" w:rsidR="00000000" w:rsidRPr="00000000">
        <w:rPr>
          <w:rFonts w:ascii="Google Sans" w:cs="Google Sans" w:eastAsia="Google Sans" w:hAnsi="Google Sans"/>
          <w:color w:val="1f1f1f"/>
          <w:rtl w:val="0"/>
        </w:rPr>
        <w:t xml:space="preserve"> (commonly known as Sea Lettuce) serves profound dual biological and operational functions within the land-based facility. Biologically, </w:t>
      </w:r>
      <w:r w:rsidDel="00000000" w:rsidR="00000000" w:rsidRPr="00000000">
        <w:rPr>
          <w:rFonts w:ascii="Google Sans" w:cs="Google Sans" w:eastAsia="Google Sans" w:hAnsi="Google Sans"/>
          <w:i w:val="1"/>
          <w:iCs w:val="1"/>
          <w:color w:val="1f1f1f"/>
          <w:rtl w:val="0"/>
        </w:rPr>
        <w:t xml:space="preserve">Ulva</w:t>
      </w:r>
      <w:r w:rsidDel="00000000" w:rsidR="00000000" w:rsidRPr="00000000">
        <w:rPr>
          <w:rFonts w:ascii="Google Sans" w:cs="Google Sans" w:eastAsia="Google Sans" w:hAnsi="Google Sans"/>
          <w:color w:val="1f1f1f"/>
          <w:rtl w:val="0"/>
        </w:rPr>
        <w:t xml:space="preserve"> species are critical for the enhancement of maternal nutritional reserves and, paramount to the commercial market, the early-stage organoleptic quality of the gonad—specifically its highly prized "sweetness" and vibrant coloration.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top-tier commercial value of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roe in international markets (predominantly Japan, which processes over 80% of global premium supply) is heavily dependent on specific pigmentation and amino acid profiles.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Fresh </w:t>
      </w:r>
      <w:r w:rsidDel="00000000" w:rsidR="00000000" w:rsidRPr="00000000">
        <w:rPr>
          <w:rFonts w:ascii="Google Sans" w:cs="Google Sans" w:eastAsia="Google Sans" w:hAnsi="Google Sans"/>
          <w:i w:val="1"/>
          <w:iCs w:val="1"/>
          <w:color w:val="1f1f1f"/>
          <w:rtl w:val="0"/>
        </w:rPr>
        <w:t xml:space="preserve">Ulva lacinulata</w:t>
      </w:r>
      <w:r w:rsidDel="00000000" w:rsidR="00000000" w:rsidRPr="00000000">
        <w:rPr>
          <w:rFonts w:ascii="Google Sans" w:cs="Google Sans" w:eastAsia="Google Sans" w:hAnsi="Google Sans"/>
          <w:color w:val="1f1f1f"/>
          <w:rtl w:val="0"/>
        </w:rPr>
        <w:t xml:space="preserve"> possesses remarkably high concentrations of </w:t>
      </w:r>
      <w:r w:rsidDel="00000000" w:rsidR="00000000" w:rsidRPr="00000000">
        <w:rPr>
          <w:rFonts w:ascii="Google Sans" w:cs="Google Sans" w:eastAsia="Google Sans" w:hAnsi="Google Sans"/>
          <w:color w:val="1f1f1f"/>
        </w:rPr>
        <w:drawing>
          <wp:inline distB="19050" distT="19050" distL="19050" distR="19050">
            <wp:extent cx="114151" cy="228303"/>
            <wp:effectExtent b="0" l="0" r="0" t="0"/>
            <wp:docPr id="2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-carotene alongside other vital accessory pigments.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As a direct feed input within the biomimicry blend, the </w:t>
      </w:r>
      <w:r w:rsidDel="00000000" w:rsidR="00000000" w:rsidRPr="00000000">
        <w:rPr>
          <w:rFonts w:ascii="Google Sans" w:cs="Google Sans" w:eastAsia="Google Sans" w:hAnsi="Google Sans"/>
          <w:i w:val="1"/>
          <w:iCs w:val="1"/>
          <w:color w:val="1f1f1f"/>
          <w:rtl w:val="0"/>
        </w:rPr>
        <w:t xml:space="preserve">Ulva</w:t>
      </w:r>
      <w:r w:rsidDel="00000000" w:rsidR="00000000" w:rsidRPr="00000000">
        <w:rPr>
          <w:rFonts w:ascii="Google Sans" w:cs="Google Sans" w:eastAsia="Google Sans" w:hAnsi="Google Sans"/>
          <w:color w:val="1f1f1f"/>
          <w:rtl w:val="0"/>
        </w:rPr>
        <w:t xml:space="preserve"> fraction acts as a natural, highly bioavailable source of dietary carotenoids. The sea urchin metabolizes these compounds and systematically sequesters them within the lipid-rich tissues of the gonads, significantly enhancing the visually appealing bright yellow-to-deep-orange coloration demanded by high-end sushi and sashimi markets.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 specific amino acid profile of </w:t>
      </w:r>
      <w:r w:rsidDel="00000000" w:rsidR="00000000" w:rsidRPr="00000000">
        <w:rPr>
          <w:rFonts w:ascii="Google Sans" w:cs="Google Sans" w:eastAsia="Google Sans" w:hAnsi="Google Sans"/>
          <w:i w:val="1"/>
          <w:iCs w:val="1"/>
          <w:color w:val="1f1f1f"/>
          <w:rtl w:val="0"/>
        </w:rPr>
        <w:t xml:space="preserve">Ulva</w:t>
      </w:r>
      <w:r w:rsidDel="00000000" w:rsidR="00000000" w:rsidRPr="00000000">
        <w:rPr>
          <w:rFonts w:ascii="Google Sans" w:cs="Google Sans" w:eastAsia="Google Sans" w:hAnsi="Google Sans"/>
          <w:color w:val="1f1f1f"/>
          <w:rtl w:val="0"/>
        </w:rPr>
        <w:t xml:space="preserve"> contributes heavily to the synthesis of Major Yolk Proteins (MYPs), which directly influence the textural firmness and the umami/sweet flavor profile of the final product. The presence of </w:t>
      </w:r>
      <w:r w:rsidDel="00000000" w:rsidR="00000000" w:rsidRPr="00000000">
        <w:rPr>
          <w:rFonts w:ascii="Google Sans" w:cs="Google Sans" w:eastAsia="Google Sans" w:hAnsi="Google Sans"/>
          <w:i w:val="1"/>
          <w:iCs w:val="1"/>
          <w:color w:val="1f1f1f"/>
          <w:rtl w:val="0"/>
        </w:rPr>
        <w:t xml:space="preserve">Ulva</w:t>
      </w:r>
      <w:r w:rsidDel="00000000" w:rsidR="00000000" w:rsidRPr="00000000">
        <w:rPr>
          <w:rFonts w:ascii="Google Sans" w:cs="Google Sans" w:eastAsia="Google Sans" w:hAnsi="Google Sans"/>
          <w:color w:val="1f1f1f"/>
          <w:rtl w:val="0"/>
        </w:rPr>
        <w:t xml:space="preserve"> interacts synergistically with the high-calorie brown algae to maximize not just the physical volumetric size of the gonad, but its intricate biochemical composition.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an operational and ecological perspective, </w:t>
      </w:r>
      <w:r w:rsidDel="00000000" w:rsidR="00000000" w:rsidRPr="00000000">
        <w:rPr>
          <w:rFonts w:ascii="Google Sans" w:cs="Google Sans" w:eastAsia="Google Sans" w:hAnsi="Google Sans"/>
          <w:i w:val="1"/>
          <w:iCs w:val="1"/>
          <w:color w:val="1f1f1f"/>
          <w:rtl w:val="0"/>
        </w:rPr>
        <w:t xml:space="preserve">Ulva lacinulata</w:t>
      </w:r>
      <w:r w:rsidDel="00000000" w:rsidR="00000000" w:rsidRPr="00000000">
        <w:rPr>
          <w:rFonts w:ascii="Google Sans" w:cs="Google Sans" w:eastAsia="Google Sans" w:hAnsi="Google Sans"/>
          <w:color w:val="1f1f1f"/>
          <w:rtl w:val="0"/>
        </w:rPr>
        <w:t xml:space="preserve"> is highly advantageous because it can be seamlessly cultivated in-house using Integrated Multi-Trophic Aquaculture (IMTA) systems. In these advanced circular setups, the </w:t>
      </w:r>
      <w:r w:rsidDel="00000000" w:rsidR="00000000" w:rsidRPr="00000000">
        <w:rPr>
          <w:rFonts w:ascii="Google Sans" w:cs="Google Sans" w:eastAsia="Google Sans" w:hAnsi="Google Sans"/>
          <w:i w:val="1"/>
          <w:iCs w:val="1"/>
          <w:color w:val="1f1f1f"/>
          <w:rtl w:val="0"/>
        </w:rPr>
        <w:t xml:space="preserve">Ulva</w:t>
      </w:r>
      <w:r w:rsidDel="00000000" w:rsidR="00000000" w:rsidRPr="00000000">
        <w:rPr>
          <w:rFonts w:ascii="Google Sans" w:cs="Google Sans" w:eastAsia="Google Sans" w:hAnsi="Google Sans"/>
          <w:color w:val="1f1f1f"/>
          <w:rtl w:val="0"/>
        </w:rPr>
        <w:t xml:space="preserve"> acts as an aggressive and highly efficient biological filter. It rapidly assimilates the dissolved ammonia and various nitrogenous effluents produced continuously by the dense populations of grazing sea urchins.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routinely harvesting this rapidly growing, bioremediating seaweed and cycling it directly back into the urchin feed stream as the requisite 30% dietary component, facilities effectively close the internal nutrient loop. This IMTA integration drastically reduces external feed procurement costs, minimizes reliance on wild-harvested kelp resources, and significantly lowers the overall ecological footprint of the intensive conditioning phase.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Mechanical Stimulants: </w:t>
      </w:r>
      <w:r w:rsidDel="00000000" w:rsidR="00000000" w:rsidRPr="00000000">
        <w:rPr>
          <w:rFonts w:ascii="Google Sans" w:cs="Google Sans" w:eastAsia="Google Sans" w:hAnsi="Google Sans"/>
          <w:b w:val="1"/>
          <w:bCs w:val="1"/>
          <w:i w:val="1"/>
          <w:iCs w:val="1"/>
          <w:color w:val="1f1f1f"/>
          <w:sz w:val="28"/>
          <w:szCs w:val="28"/>
          <w:rtl w:val="0"/>
        </w:rPr>
        <w:t xml:space="preserve">Turbinaria ornata</w:t>
      </w:r>
      <w:r w:rsidDel="00000000" w:rsidR="00000000" w:rsidRPr="00000000">
        <w:rPr>
          <w:rFonts w:ascii="Google Sans" w:cs="Google Sans" w:eastAsia="Google Sans" w:hAnsi="Google Sans"/>
          <w:color w:val="1f1f1f"/>
          <w:rtl w:val="0"/>
        </w:rPr>
        <w:t xml:space="preserve"> (10% Inclusion)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Perhaps the most biologically innovative and counter-intuitive aspect of the March 2026 biomimicry protocol is the deliberate inclusion of a 10% functional fraction of </w:t>
      </w:r>
      <w:r w:rsidDel="00000000" w:rsidR="00000000" w:rsidRPr="00000000">
        <w:rPr>
          <w:rFonts w:ascii="Google Sans" w:cs="Google Sans" w:eastAsia="Google Sans" w:hAnsi="Google Sans"/>
          <w:i w:val="1"/>
          <w:iCs w:val="1"/>
          <w:color w:val="1f1f1f"/>
          <w:rtl w:val="0"/>
        </w:rPr>
        <w:t xml:space="preserve">Turbinaria ornata</w:t>
      </w:r>
      <w:r w:rsidDel="00000000" w:rsidR="00000000" w:rsidRPr="00000000">
        <w:rPr>
          <w:rFonts w:ascii="Google Sans" w:cs="Google Sans" w:eastAsia="Google Sans" w:hAnsi="Google Sans"/>
          <w:color w:val="1f1f1f"/>
          <w:rtl w:val="0"/>
        </w:rPr>
        <w:t xml:space="preserve">. While it is not the primary caloric driver, nor the primary pigment provider, </w:t>
      </w:r>
      <w:r w:rsidDel="00000000" w:rsidR="00000000" w:rsidRPr="00000000">
        <w:rPr>
          <w:rFonts w:ascii="Google Sans" w:cs="Google Sans" w:eastAsia="Google Sans" w:hAnsi="Google Sans"/>
          <w:i w:val="1"/>
          <w:iCs w:val="1"/>
          <w:color w:val="1f1f1f"/>
          <w:rtl w:val="0"/>
        </w:rPr>
        <w:t xml:space="preserve">T. ornata</w:t>
      </w:r>
      <w:r w:rsidDel="00000000" w:rsidR="00000000" w:rsidRPr="00000000">
        <w:rPr>
          <w:rFonts w:ascii="Google Sans" w:cs="Google Sans" w:eastAsia="Google Sans" w:hAnsi="Google Sans"/>
          <w:color w:val="1f1f1f"/>
          <w:rtl w:val="0"/>
        </w:rPr>
        <w:t xml:space="preserve"> serves a vital, irreplaceable mechanical and behavioral function necessary for long-term physiological health.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Turbinaria ornata</w:t>
      </w:r>
      <w:r w:rsidDel="00000000" w:rsidR="00000000" w:rsidRPr="00000000">
        <w:rPr>
          <w:rFonts w:ascii="Google Sans" w:cs="Google Sans" w:eastAsia="Google Sans" w:hAnsi="Google Sans"/>
          <w:color w:val="1f1f1f"/>
          <w:rtl w:val="0"/>
        </w:rPr>
        <w:t xml:space="preserve"> is a highly resilient, globally distributed brown alga known for thriving across diverse and often extreme hydrodynamic zones, particularly within the barrier reefs of the South Pacific.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 exhibits remarkable phenotypic plasticity as an adaptive survival mechanism. In calm, protected lagoon environments, it develops relatively flexible structural stipes equipped with airbladders to maintain buoyancy in still water. Conversely, in highly turbulent, high-energy forereef environments subjected to relentless wave action, it alters its morphology to grow into a rigid, non-buoyant, and exceptionally stiff morphotype.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 is specifically this structural toughness of the high-energy morphotype that is strategically leveraged in the aquaculture feed blend.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feeding apparatus of the sea urchin, a complex pentaradial structure known as Aristotle's lantern, houses five continuously growing, highly calcified teeth. In wild benthic environments, urchins scrape calcified coralline algae and tough, resistant substrates, which naturally grinds the continuously extruding teeth down, keeping them sharp and optimally sized for efficient foraging. In highly controlled land-based systems, sea urchins fed exclusively on soft, easily masticated formulated pellets or delicate, tissue-thin macroalgae (like </w:t>
      </w:r>
      <w:r w:rsidDel="00000000" w:rsidR="00000000" w:rsidRPr="00000000">
        <w:rPr>
          <w:rFonts w:ascii="Google Sans" w:cs="Google Sans" w:eastAsia="Google Sans" w:hAnsi="Google Sans"/>
          <w:i w:val="1"/>
          <w:iCs w:val="1"/>
          <w:color w:val="1f1f1f"/>
          <w:rtl w:val="0"/>
        </w:rPr>
        <w:t xml:space="preserve">Ulva</w:t>
      </w:r>
      <w:r w:rsidDel="00000000" w:rsidR="00000000" w:rsidRPr="00000000">
        <w:rPr>
          <w:rFonts w:ascii="Google Sans" w:cs="Google Sans" w:eastAsia="Google Sans" w:hAnsi="Google Sans"/>
          <w:color w:val="1f1f1f"/>
          <w:rtl w:val="0"/>
        </w:rPr>
        <w:t xml:space="preserve">) do not experience this natural dental abrasion. Consequently, they frequently suffer from severe overgrowth of the teeth within Aristotle's lantern.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introducing the tough, highly stiff morphotype of </w:t>
      </w:r>
      <w:r w:rsidDel="00000000" w:rsidR="00000000" w:rsidRPr="00000000">
        <w:rPr>
          <w:rFonts w:ascii="Google Sans" w:cs="Google Sans" w:eastAsia="Google Sans" w:hAnsi="Google Sans"/>
          <w:i w:val="1"/>
          <w:iCs w:val="1"/>
          <w:color w:val="1f1f1f"/>
          <w:rtl w:val="0"/>
        </w:rPr>
        <w:t xml:space="preserve">T. ornata</w:t>
      </w:r>
      <w:r w:rsidDel="00000000" w:rsidR="00000000" w:rsidRPr="00000000">
        <w:rPr>
          <w:rFonts w:ascii="Google Sans" w:cs="Google Sans" w:eastAsia="Google Sans" w:hAnsi="Google Sans"/>
          <w:color w:val="1f1f1f"/>
          <w:rtl w:val="0"/>
        </w:rPr>
        <w:t xml:space="preserve"> at a 10% ratio, aquaculture managers actively force the urchins to engage in natural, high-friction, physically demanding grazing behaviors.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deliberate functional inclusion ensures continuous, healthy tooth wear. Preventing these oral morphological deformities is critical; if the teeth overgrow, it mechanically inhibits the urchin's ability to feed efficiently during the crucial late stages of the conditioning cycle, leading to stunted growth and collapsed Gonad Indices right before harvest.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clearly outlines the precise composition and the specialized mechanistic functions of the SCU/JCU recommended biomimicry diet.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Algal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Botanical Species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Biomimicry Inclusion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Mechanistic Function in Conditioning Phase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Sargassum flavicans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Cystoseira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Exceptionally high caloric density; drives rapid somatic tissue growth and fuels basal metabolic requirements via structural polysaccharides.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Secondary Modulator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Ulva lacinulata</w:t>
            </w:r>
            <w:r w:rsidDel="00000000" w:rsidR="00000000" w:rsidRPr="00000000">
              <w:rPr>
                <w:rFonts w:ascii="Google Sans" w:cs="Google Sans" w:eastAsia="Google Sans" w:hAnsi="Google Sans"/>
                <w:color w:val="1f1f1f"/>
                <w:shd w:fill="auto" w:val="clear"/>
                <w:rtl w:val="0"/>
              </w:rPr>
              <w:t xml:space="preserve"> (Sea Lettuce)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carotenoid provision for premium gonad coloration; increases organoleptic "sweetness"; allows for internal IMTA biofiltration capabilities.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Stimulant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Turbinaria ornata</w:t>
            </w:r>
            <w:r w:rsidDel="00000000" w:rsidR="00000000" w:rsidRPr="00000000">
              <w:rPr>
                <w:rFonts w:ascii="Google Sans" w:cs="Google Sans" w:eastAsia="Google Sans" w:hAnsi="Google Sans"/>
                <w:color w:val="1f1f1f"/>
                <w:shd w:fill="auto" w:val="clear"/>
                <w:rtl w:val="0"/>
              </w:rPr>
              <w:t xml:space="preserve"> (Stiff Morphotype)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 mechanical toughness stimulates natural, high-friction grazing; ensures requisite tooth wear to maintain Aristotle's lantern efficacy and prevent morphological starvation.</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Monochromatic Photobiology: The Blue Light Synergy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physical infrastructure and the biomimicry dietary blend optimize the physical and chemical inputs available to the urchin, the most significant technological intervention highlighted in the SCU and JCU trials pertains to the active photobiological manipulation of the holding environment. Traditional commercial aquaculture systems have historically relied on uncontrolled ambient sunlight or standard, broad-spectrum white lighting infrastructure. However, comprehensive, highly controlled trials exposing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to a variety of different monochromatic light-emitting diode (LED) spectra—specifically Blue (</w:t>
      </w:r>
      <w:r w:rsidDel="00000000" w:rsidR="00000000" w:rsidRPr="00000000">
        <w:rPr>
          <w:rFonts w:ascii="Google Sans" w:cs="Google Sans" w:eastAsia="Google Sans" w:hAnsi="Google Sans"/>
          <w:color w:val="1f1f1f"/>
        </w:rPr>
        <w:drawing>
          <wp:inline distB="19050" distT="19050" distL="19050" distR="19050">
            <wp:extent cx="886420" cy="228754"/>
            <wp:effectExtent b="0" l="0" r="0" t="0"/>
            <wp:docPr id="2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86420" cy="2287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Yellow (</w:t>
      </w:r>
      <w:r w:rsidDel="00000000" w:rsidR="00000000" w:rsidRPr="00000000">
        <w:rPr>
          <w:rFonts w:ascii="Google Sans" w:cs="Google Sans" w:eastAsia="Google Sans" w:hAnsi="Google Sans"/>
          <w:color w:val="1f1f1f"/>
        </w:rPr>
        <w:drawing>
          <wp:inline distB="19050" distT="19050" distL="19050" distR="19050">
            <wp:extent cx="1255366" cy="228248"/>
            <wp:effectExtent b="0" l="0" r="0" t="0"/>
            <wp:docPr id="26"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1255366" cy="228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 (</w:t>
      </w:r>
      <w:r w:rsidDel="00000000" w:rsidR="00000000" w:rsidRPr="00000000">
        <w:rPr>
          <w:rFonts w:ascii="Google Sans" w:cs="Google Sans" w:eastAsia="Google Sans" w:hAnsi="Google Sans"/>
          <w:color w:val="1f1f1f"/>
        </w:rPr>
        <w:drawing>
          <wp:inline distB="19050" distT="19050" distL="19050" distR="19050">
            <wp:extent cx="775692" cy="201105"/>
            <wp:effectExtent b="0" l="0" r="0" t="0"/>
            <wp:docPr id="2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775692" cy="20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Green (</w:t>
      </w:r>
      <w:r w:rsidDel="00000000" w:rsidR="00000000" w:rsidRPr="00000000">
        <w:rPr>
          <w:rFonts w:ascii="Google Sans" w:cs="Google Sans" w:eastAsia="Google Sans" w:hAnsi="Google Sans"/>
          <w:color w:val="1f1f1f"/>
        </w:rPr>
        <w:drawing>
          <wp:inline distB="19050" distT="19050" distL="19050" distR="19050">
            <wp:extent cx="886420" cy="228754"/>
            <wp:effectExtent b="0" l="0" r="0" t="0"/>
            <wp:docPr id="3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886420" cy="2287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White (</w:t>
      </w:r>
      <w:r w:rsidDel="00000000" w:rsidR="00000000" w:rsidRPr="00000000">
        <w:rPr>
          <w:rFonts w:ascii="Google Sans" w:cs="Google Sans" w:eastAsia="Google Sans" w:hAnsi="Google Sans"/>
          <w:color w:val="1f1f1f"/>
        </w:rPr>
        <w:drawing>
          <wp:inline distB="19050" distT="19050" distL="19050" distR="19050">
            <wp:extent cx="1255366" cy="228248"/>
            <wp:effectExtent b="0" l="0" r="0" t="0"/>
            <wp:docPr id="33"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255366" cy="228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)—reveal that specific narrow wavelengths exert profound, systemic regulatory control over the organism's feeding behavior, gastrointestinal enzyme viability, and cellular oxidative stress levels.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Modulating Feed Conversion Rates and Somatic Hyper-Accumulation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a rigorously maintained 12L:12D (12 hours light, 12 hours dark) photoperiod spanning a standard 30-day conditioning cycle, sea urchins subjected continuously to monochromatic blue light (</w:t>
      </w:r>
      <w:r w:rsidDel="00000000" w:rsidR="00000000" w:rsidRPr="00000000">
        <w:rPr>
          <w:rFonts w:ascii="Google Sans" w:cs="Google Sans" w:eastAsia="Google Sans" w:hAnsi="Google Sans"/>
          <w:color w:val="1f1f1f"/>
        </w:rPr>
        <w:drawing>
          <wp:inline distB="19050" distT="19050" distL="19050" distR="19050">
            <wp:extent cx="886420" cy="228754"/>
            <wp:effectExtent b="0" l="0" r="0" t="0"/>
            <wp:docPr id="3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86420" cy="2287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exhibited an unprecedented, statistically significant acceleration in overall biomass accumulation. The specific weight gain rate (WGR) for the cohort maintained under the blue light spectrum reached an impressive 39.26%, accompanied by an elevated specific growth rate (SGR) of 13.41%.</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stark, alarming contrast, genetically similar urchins held under red light (</w:t>
      </w:r>
      <w:r w:rsidDel="00000000" w:rsidR="00000000" w:rsidRPr="00000000">
        <w:rPr>
          <w:rFonts w:ascii="Google Sans" w:cs="Google Sans" w:eastAsia="Google Sans" w:hAnsi="Google Sans"/>
          <w:color w:val="1f1f1f"/>
        </w:rPr>
        <w:drawing>
          <wp:inline distB="19050" distT="19050" distL="19050" distR="19050">
            <wp:extent cx="775692" cy="201105"/>
            <wp:effectExtent b="0" l="0" r="0" t="0"/>
            <wp:docPr id="3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775692" cy="20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demonstrated highly inhibited growth trajectories, recording a stunted WGR of only 26.93% and an SGR of just 12.19% over the exact same period.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massive divergence in growth potential is primarily, though not entirely, driven by light-mediated hyperphagia—an aggressive increase in appetite and feed consumption. Feeding status was significantly elevated (</w:t>
      </w:r>
      <w:r w:rsidDel="00000000" w:rsidR="00000000" w:rsidRPr="00000000">
        <w:rPr>
          <w:rFonts w:ascii="Google Sans" w:cs="Google Sans" w:eastAsia="Google Sans" w:hAnsi="Google Sans"/>
          <w:color w:val="1f1f1f"/>
        </w:rPr>
        <w:drawing>
          <wp:inline distB="19050" distT="19050" distL="19050" distR="19050">
            <wp:extent cx="666750" cy="228600"/>
            <wp:effectExtent b="0" l="0" r="0" t="0"/>
            <wp:docPr id="39"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667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the 450 nm spectrum, with blue-light urchins consuming an average daily intake of </w:t>
      </w:r>
      <w:r w:rsidDel="00000000" w:rsidR="00000000" w:rsidRPr="00000000">
        <w:rPr>
          <w:rFonts w:ascii="Google Sans" w:cs="Google Sans" w:eastAsia="Google Sans" w:hAnsi="Google Sans"/>
          <w:color w:val="1f1f1f"/>
        </w:rPr>
        <w:drawing>
          <wp:inline distB="19050" distT="19050" distL="19050" distR="19050">
            <wp:extent cx="851744" cy="191403"/>
            <wp:effectExtent b="0" l="0" r="0" t="0"/>
            <wp:docPr id="41"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851744" cy="1914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biomimicry feed blend, compared to the highly suppressed intake of only </w:t>
      </w:r>
      <w:r w:rsidDel="00000000" w:rsidR="00000000" w:rsidRPr="00000000">
        <w:rPr>
          <w:rFonts w:ascii="Google Sans" w:cs="Google Sans" w:eastAsia="Google Sans" w:hAnsi="Google Sans"/>
          <w:color w:val="1f1f1f"/>
        </w:rPr>
        <w:drawing>
          <wp:inline distB="19050" distT="19050" distL="19050" distR="19050">
            <wp:extent cx="851744" cy="191403"/>
            <wp:effectExtent b="0" l="0" r="0" t="0"/>
            <wp:docPr id="4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851744" cy="1914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observed under the red spectrum.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robust behavioral shift strongly suggests that blue light acts as an ancient environmental cue, signaling optimal, highly productive foraging conditions to the urchin's neural network, closely mimicking the spectral qualities of unpolluted, highly productive sub-littoral marine environments where shorter blue wavelengths penetrate the water column most effectively.</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Enzymatic Upregulation and Superior Protein Assimilation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raw increase in physical feed intake accounts for a portion of the growth disparity, it does not entirely explain the sheer efficiency of the 39.26% weight gain. The efficiency of nutrient assimilation—mathematically expressed as the feed conversion ratio (FCR)—is actively and deeply modulated by the ambient light spectrum.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critical technical insight provided by the SCU/JCU researchers lies in the differential viability of specific digestive enzymes operating within the urchin gut under varying light conditions.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Detailed biochemical analyses of the gastrointestinal tract demonstrate that while the viability of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-amylase (an enzyme responsible for breaking down simple starches) remains relatively stable and is largely uninfluenced by light color across the three phases of the trial (</w:t>
      </w:r>
      <w:r w:rsidDel="00000000" w:rsidR="00000000" w:rsidRPr="00000000">
        <w:rPr>
          <w:rFonts w:ascii="Google Sans" w:cs="Google Sans" w:eastAsia="Google Sans" w:hAnsi="Google Sans"/>
          <w:color w:val="1f1f1f"/>
        </w:rPr>
        <w:drawing>
          <wp:inline distB="19050" distT="19050" distL="19050" distR="19050">
            <wp:extent cx="666750" cy="228600"/>
            <wp:effectExtent b="0" l="0" r="0" t="0"/>
            <wp:docPr id="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667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internal viability of pepsin significantly and drastically increases (</w:t>
      </w:r>
      <w:r w:rsidDel="00000000" w:rsidR="00000000" w:rsidRPr="00000000">
        <w:rPr>
          <w:rFonts w:ascii="Google Sans" w:cs="Google Sans" w:eastAsia="Google Sans" w:hAnsi="Google Sans"/>
          <w:color w:val="1f1f1f"/>
        </w:rPr>
        <w:drawing>
          <wp:inline distB="19050" distT="19050" distL="19050" distR="19050">
            <wp:extent cx="666750" cy="228600"/>
            <wp:effectExtent b="0" l="0" r="0" t="0"/>
            <wp:docPr id="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667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exclusively under the blue light regime.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Pepsin acts as a primary endopeptidase, fundamentally responsible for cleaving and breaking down complex, highly folded macroalgal proteins into smaller, highly bioavailable peptides. Because the brown-dominant biomimicry algal blend (particularly the massive 60% </w:t>
      </w:r>
      <w:r w:rsidDel="00000000" w:rsidR="00000000" w:rsidRPr="00000000">
        <w:rPr>
          <w:rFonts w:ascii="Google Sans" w:cs="Google Sans" w:eastAsia="Google Sans" w:hAnsi="Google Sans"/>
          <w:i w:val="1"/>
          <w:iCs w:val="1"/>
          <w:color w:val="1f1f1f"/>
          <w:rtl w:val="0"/>
        </w:rPr>
        <w:t xml:space="preserve">Sargassum</w:t>
      </w:r>
      <w:r w:rsidDel="00000000" w:rsidR="00000000" w:rsidRPr="00000000">
        <w:rPr>
          <w:rFonts w:ascii="Google Sans" w:cs="Google Sans" w:eastAsia="Google Sans" w:hAnsi="Google Sans"/>
          <w:color w:val="1f1f1f"/>
          <w:rtl w:val="0"/>
        </w:rPr>
        <w:t xml:space="preserve"> and 30% </w:t>
      </w:r>
      <w:r w:rsidDel="00000000" w:rsidR="00000000" w:rsidRPr="00000000">
        <w:rPr>
          <w:rFonts w:ascii="Google Sans" w:cs="Google Sans" w:eastAsia="Google Sans" w:hAnsi="Google Sans"/>
          <w:i w:val="1"/>
          <w:iCs w:val="1"/>
          <w:color w:val="1f1f1f"/>
          <w:rtl w:val="0"/>
        </w:rPr>
        <w:t xml:space="preserve">Ulva</w:t>
      </w:r>
      <w:r w:rsidDel="00000000" w:rsidR="00000000" w:rsidRPr="00000000">
        <w:rPr>
          <w:rFonts w:ascii="Google Sans" w:cs="Google Sans" w:eastAsia="Google Sans" w:hAnsi="Google Sans"/>
          <w:color w:val="1f1f1f"/>
          <w:rtl w:val="0"/>
        </w:rPr>
        <w:t xml:space="preserve"> fractions) provides a high proportion of complex plant proteins, the light-induced surge in pepsin viability drastically improves the urchin's ability to mechanically extract and absorb these proteins across the gut epithelium.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exposure to red light forces the urchin into a deep state of metabolic and physiological distress. Under the longer wavelength </w:t>
      </w:r>
      <w:r w:rsidDel="00000000" w:rsidR="00000000" w:rsidRPr="00000000">
        <w:rPr>
          <w:rFonts w:ascii="Google Sans" w:cs="Google Sans" w:eastAsia="Google Sans" w:hAnsi="Google Sans"/>
          <w:color w:val="1f1f1f"/>
        </w:rPr>
        <w:drawing>
          <wp:inline distB="19050" distT="19050" distL="19050" distR="19050">
            <wp:extent cx="775692" cy="201105"/>
            <wp:effectExtent b="0" l="0" r="0" t="0"/>
            <wp:docPr id="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775692" cy="20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regime, pepsin viability remains severely depressed, fundamentally limiting protein absorption. Simultaneously, lipase viability—which consistently stays at trace minimum levels under blue and white light environments—is notably and significantly upregulated (</w:t>
      </w:r>
      <w:r w:rsidDel="00000000" w:rsidR="00000000" w:rsidRPr="00000000">
        <w:rPr>
          <w:rFonts w:ascii="Google Sans" w:cs="Google Sans" w:eastAsia="Google Sans" w:hAnsi="Google Sans"/>
          <w:color w:val="1f1f1f"/>
        </w:rPr>
        <w:drawing>
          <wp:inline distB="19050" distT="19050" distL="19050" distR="19050">
            <wp:extent cx="666750" cy="228600"/>
            <wp:effectExtent b="0" l="0" r="0" t="0"/>
            <wp:docPr id="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667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red light.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specific biochemical pivot serves as a dark indicator: urchins under red light are largely unable to efficiently utilize dietary proteins for growth and are instead forced to upregulate lipid metabolism. They are likely burning through endogenous fat reserves to counteract the severe environmental stress induced by the unnatural light spectrum.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blue light environment actively minimizes this external stress, maintaining high overall digestive enzyme activity, preventing panic-induced fat catabolism, and facilitating continuous, uninhibited somatic and gonadal deposition.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Endocrine Pathways and Oxidative Stress Mitigation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systemic physiological superiority of the blue light environment is further corroborated by analyzing the urchins' internal antioxidant defense mechanisms. Aquatic organisms constantly utilize a suite of enzymes—specifically catalase (CAT), superoxide dismutase (SOD), and glutathione peroxidase (GSH-Px)—to neutralize harmful reactive oxygen species (ROS) generated during periods of intense metabolic or environmental stress.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Urchins held under the red light regime exhibited a distinct, highly pathological biochemical trend: an initial, violent spike in CAT, SOD, and GSH-Px activities, followed by a severe, statistically significant collapse (</w:t>
      </w:r>
      <w:r w:rsidDel="00000000" w:rsidR="00000000" w:rsidRPr="00000000">
        <w:rPr>
          <w:rFonts w:ascii="Google Sans" w:cs="Google Sans" w:eastAsia="Google Sans" w:hAnsi="Google Sans"/>
          <w:color w:val="1f1f1f"/>
        </w:rPr>
        <w:drawing>
          <wp:inline distB="19050" distT="19050" distL="19050" distR="19050">
            <wp:extent cx="666750" cy="228600"/>
            <wp:effectExtent b="0" l="0" r="0" t="0"/>
            <wp:docPr id="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667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these same enzymes during the final, critical stage of the 30-day conditioning trial (days 15–30).</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biphasic cellular response is the classic biological hallmark of acute oxidative stress leading directly to total antioxidant exhaustion. It proves definitively that red light acts as a chronic physiological stressor that actively degrades the organism's homeostatic capacity over time.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direct contrast, urchins living under the blue light regime maintained highly stable, low-stress biochemical profiles throughout the entire 30 days. This stability allows vast amounts of metabolic energy to be safely diverted away from emergency stress-response cascades and funneled entirely into feed digestion, somatic growth, and gonad conditioning.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broader, underlying mechanism linking external photobiology to internal digestion and stress regulation likely parallels deeply conserved neuroendocrine pathways observed in other advanced marine organisms. Extensive research indicates that shorter light wavelengths (specifically blue and green spectra) actively stimulate specific non-visual photoreceptors—such as opsins RH1, RH2, and SWS2—located in the neural ganglia and dermal tissues of marine life.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related aquatic studies, this specific opsin activation triggers the immediate upregulation of neuropeptide Y (NPY) and other critical endocrine factors that directly stimulate appetite centers and systemic growth axes within the brain and liver.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Given the profound responses observed in the SCU/JCU trials, it is highly probable that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relies on nearly identical opsin-mediated neuroendocrine feedback loops, where </w:t>
      </w:r>
      <w:r w:rsidDel="00000000" w:rsidR="00000000" w:rsidRPr="00000000">
        <w:rPr>
          <w:rFonts w:ascii="Google Sans" w:cs="Google Sans" w:eastAsia="Google Sans" w:hAnsi="Google Sans"/>
          <w:color w:val="1f1f1f"/>
        </w:rPr>
        <w:drawing>
          <wp:inline distB="19050" distT="19050" distL="19050" distR="19050">
            <wp:extent cx="886420" cy="228754"/>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86420" cy="2287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light provides the essential, irreplaceable photic signal that perfectly optimizes the entire neuro-digestive axis.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synthesizes the massive physiological and metabolic disparities induced by targeted photobiological manipulation during the fattening phase.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Biological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Blue Light (λ≈450nm)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Detrimental Red Light (λ≈640nm)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Systemic Metabolic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Weight Gain Rate (WGR)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Blue light dramatically and significantly promotes overall biomass expansion and physical yield.</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Daily Feed Intake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51744" cy="191403"/>
                  <wp:effectExtent b="0" l="0" r="0" t="0"/>
                  <wp:docPr id="10"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851744" cy="19140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51744" cy="191403"/>
                  <wp:effectExtent b="0" l="0" r="0" t="0"/>
                  <wp:docPr id="1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851744" cy="19140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Blue light effectively triggers neuroendocrine hyperphagia, maximizing the utilization of the biomimicry diet.</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Gastrointestinal Enzyme Viability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Pepsin levels, Trace Lipase levels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Pepsin levels, High Lipase levels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Blue light promotes aggressive protein absorption; Red light forces stress-induced, highly inefficient fat catabolism.</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Oxidative Stress Markers (SOD/CAT)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Stable Homeostasis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 violent spike, followed by total collapse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 light induces severe, chronic oxidative exhaustion; Blue light minimizes systemic cellular stress, preserving energy for the gonad.</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Genetics, Inbreeding Depression, and Commercial Quality Attributes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Optimizing the physical holding environment, providing biomimetic nutrition, and deploying advanced photobiology ensures the sheer physical volume and total mass of the gonad. However, the final commercial viability and ultimate market price of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rests heavily on highly subjective organoleptic properties—specifically the physical texture, the visual color profile, and the delicate taste. The Japanese seafood market, which consumes and dictates the pricing for over 80% of globally traded premium urchin roe, places paramount importance on the complex umami profile and the distinct "sweetness" of the uni. These delicate parameters are governed not only by optimal environmental inputs but by strict underlying genetic architectures.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High Heritability of Gonad Sweetness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highly specialized advancements in the quantitative genetics of commercial sea urchins have successfully isolated the heritability of these elusive taste profiles. Genetic parameter estimates derived from complex breeding matrices demonstrate that "gonad sweetness" exhibits a remarkably high narrow-sense heritability coefficient (</w:t>
      </w:r>
      <w:r w:rsidDel="00000000" w:rsidR="00000000" w:rsidRPr="00000000">
        <w:rPr>
          <w:rFonts w:ascii="Google Sans" w:cs="Google Sans" w:eastAsia="Google Sans" w:hAnsi="Google Sans"/>
          <w:color w:val="1f1f1f"/>
        </w:rPr>
        <w:drawing>
          <wp:inline distB="19050" distT="19050" distL="19050" distR="19050">
            <wp:extent cx="753814" cy="229007"/>
            <wp:effectExtent b="0" l="0" r="0" t="0"/>
            <wp:docPr id="1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753814" cy="2290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specific metric clearly indicates that the trait is predominantly under additive genetic control, rather than being purely or randomly determined by environmental fluctuations or dietary components.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high heritability coefficient carries massive operational implications for land-based conditioning facilities. It dictates that optimizing feed and light is insufficient in isolation; facilities must concurrently establish rigorous selective breeding programs that actively and continuously screen broodstock for these favorable taste markers.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trial data reveals that gonad sweetness is not an isolated trait; it is significantly and positively mathematically correlated with total gonad weight (</w:t>
      </w:r>
      <w:r w:rsidDel="00000000" w:rsidR="00000000" w:rsidRPr="00000000">
        <w:rPr>
          <w:rFonts w:ascii="Google Sans" w:cs="Google Sans" w:eastAsia="Google Sans" w:hAnsi="Google Sans"/>
          <w:color w:val="1f1f1f"/>
        </w:rPr>
        <w:drawing>
          <wp:inline distB="19050" distT="19050" distL="19050" distR="19050">
            <wp:extent cx="666750" cy="228600"/>
            <wp:effectExtent b="0" l="0" r="0" t="0"/>
            <wp:docPr id="2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667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specific colorimetric indices </w:t>
      </w:r>
      <w:r w:rsidDel="00000000" w:rsidR="00000000" w:rsidRPr="00000000">
        <w:rPr>
          <w:rFonts w:ascii="Google Sans" w:cs="Google Sans" w:eastAsia="Google Sans" w:hAnsi="Google Sans"/>
          <w:color w:val="1f1f1f"/>
        </w:rPr>
        <w:drawing>
          <wp:inline distB="19050" distT="19050" distL="19050" distR="19050">
            <wp:extent cx="171301" cy="228402"/>
            <wp:effectExtent b="0" l="0" r="0" t="0"/>
            <wp:docPr id="2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171301" cy="2284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redness) and </w:t>
      </w:r>
      <w:r w:rsidDel="00000000" w:rsidR="00000000" w:rsidRPr="00000000">
        <w:rPr>
          <w:rFonts w:ascii="Google Sans" w:cs="Google Sans" w:eastAsia="Google Sans" w:hAnsi="Google Sans"/>
          <w:color w:val="1f1f1f"/>
        </w:rPr>
        <w:drawing>
          <wp:inline distB="19050" distT="19050" distL="19050" distR="19050">
            <wp:extent cx="152847" cy="229270"/>
            <wp:effectExtent b="0" l="0" r="0" t="0"/>
            <wp:docPr id="25"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52847" cy="2292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yellowness) (</w:t>
      </w:r>
      <w:r w:rsidDel="00000000" w:rsidR="00000000" w:rsidRPr="00000000">
        <w:rPr>
          <w:rFonts w:ascii="Google Sans" w:cs="Google Sans" w:eastAsia="Google Sans" w:hAnsi="Google Sans"/>
          <w:color w:val="1f1f1f"/>
        </w:rPr>
        <w:drawing>
          <wp:inline distB="19050" distT="19050" distL="19050" distR="19050">
            <wp:extent cx="666750" cy="228600"/>
            <wp:effectExtent b="0" l="0" r="0" t="0"/>
            <wp:docPr id="27"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6667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Conversely, sweetness is significantly negatively correlated with lightness (</w:t>
      </w:r>
      <w:r w:rsidDel="00000000" w:rsidR="00000000" w:rsidRPr="00000000">
        <w:rPr>
          <w:rFonts w:ascii="Google Sans" w:cs="Google Sans" w:eastAsia="Google Sans" w:hAnsi="Google Sans"/>
          <w:color w:val="1f1f1f"/>
        </w:rPr>
        <w:drawing>
          <wp:inline distB="19050" distT="19050" distL="19050" distR="19050">
            <wp:extent cx="199281" cy="227750"/>
            <wp:effectExtent b="0" l="0" r="0" t="0"/>
            <wp:docPr id="30"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199281" cy="227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total color difference (</w:t>
      </w:r>
      <w:r w:rsidDel="00000000" w:rsidR="00000000" w:rsidRPr="00000000">
        <w:rPr>
          <w:rFonts w:ascii="Google Sans" w:cs="Google Sans" w:eastAsia="Google Sans" w:hAnsi="Google Sans"/>
          <w:color w:val="1f1f1f"/>
        </w:rPr>
        <w:drawing>
          <wp:inline distB="19050" distT="19050" distL="19050" distR="19050">
            <wp:extent cx="300484" cy="225363"/>
            <wp:effectExtent b="0" l="0" r="0" t="0"/>
            <wp:docPr id="3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300484" cy="225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66750" cy="228600"/>
            <wp:effectExtent b="0" l="0" r="0" t="0"/>
            <wp:docPr id="3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6667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deep, intrinsic genetic linkage between deep orange/red pigmentation (high </w:t>
      </w:r>
      <w:r w:rsidDel="00000000" w:rsidR="00000000" w:rsidRPr="00000000">
        <w:rPr>
          <w:rFonts w:ascii="Google Sans" w:cs="Google Sans" w:eastAsia="Google Sans" w:hAnsi="Google Sans"/>
          <w:color w:val="1f1f1f"/>
        </w:rPr>
        <w:drawing>
          <wp:inline distB="19050" distT="19050" distL="19050" distR="19050">
            <wp:extent cx="171301" cy="228402"/>
            <wp:effectExtent b="0" l="0" r="0" t="0"/>
            <wp:docPr id="36"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171301" cy="2284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52847" cy="229270"/>
            <wp:effectExtent b="0" l="0" r="0" t="0"/>
            <wp:docPr id="38"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52847" cy="2292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high sweetness biochemically validates the use of carotenoid-rich secondary dietary modulators like the 30% </w:t>
      </w:r>
      <w:r w:rsidDel="00000000" w:rsidR="00000000" w:rsidRPr="00000000">
        <w:rPr>
          <w:rFonts w:ascii="Google Sans" w:cs="Google Sans" w:eastAsia="Google Sans" w:hAnsi="Google Sans"/>
          <w:i w:val="1"/>
          <w:iCs w:val="1"/>
          <w:color w:val="1f1f1f"/>
          <w:rtl w:val="0"/>
        </w:rPr>
        <w:t xml:space="preserve">Ulva lacinulata</w:t>
      </w:r>
      <w:r w:rsidDel="00000000" w:rsidR="00000000" w:rsidRPr="00000000">
        <w:rPr>
          <w:rFonts w:ascii="Google Sans" w:cs="Google Sans" w:eastAsia="Google Sans" w:hAnsi="Google Sans"/>
          <w:color w:val="1f1f1f"/>
          <w:rtl w:val="0"/>
        </w:rPr>
        <w:t xml:space="preserve"> fraction. The expression of these superior, highly heritable genetic traits absolutely requires the physical chemical precursors (carotenoids) provided specifically by the green algae.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Mitigating Inbreeding Depression and Quality Degradation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intensive conditioning facilities often rely on closed-loop breeding populations within highly controlled land-based setups, managing the long-term genetic diversity of the cohort is a critical risk-management variable. Research into single-generation full-sibling inbreeding within related commercial echinoderm species highlights severe operational vulnerabilities. While basic structural traits like total test size and gross body weight may temporarily withstand initial genetic bottlenecks, complex internal processes like gametogenesis and the ultimate expression of gonad sweetness are exquisitely sensitive to inbreeding depression.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inbred cohorts consistently exhibit catastrophic declines in Major Yolk Protein (MYP) expression.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MYPs are the fundamental biochemical building blocks that structurally define the physical texture, the viscosity, and the overall nutritional density of the premium roe.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Therefore, forward-thinking facility operators must implement robust, technologically advanced genomic pedigree tracking and strict outcrossing protocols to avoid insidious inbreeding. This ensures that the immense genetic potential for a </w:t>
      </w: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40"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328017" cy="221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heritability in sweetness is rigorously preserved across successive facility generations.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highly advanced biomimicry diets and the blue light enhancements discussed extensively in previous sections will ultimately fail to produce premium commercial grades if the baseline broodstock genome has been compromised by high consanguinity.</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Post-Harvest Logistics: Emersion Tolerance and Live Transport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technological perfection of the conditioning phase culminates in the harvest, but the economic realization of this effort depends entirely on post-harvest logistics. The highest premium prices for sea urchin product are invariably paid for specimens transported live across international supply chains directly to elite markets or specialized processing facilities. However, rigorous research into cost-effective, biologically safe methods of transporting live sea urchins out of water (emersion) over long distances is remarkably scarce.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this critical gap, baseline logistical trials examined the physiological limits of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when packed and shipped in standard 'cooler boxes' without water, mimicking typical air-freight transport routes across the Indo-Pacific region. The studies systematically cross-referenced the effect of emersion time (6, 12, 24, and 48 hours) against highly variable ambient air temperatures (chilled at ~4°C, cooled at ~12°C, and ambient exposure at ~27°C).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primary metrics for survival and post-transport fitness were overall mortality rates and the preservation of the urchin's complex 'righting behavior'—the ability of an inverted urchin to utilize its tube feet to turn itself upright, a universal biological indicator of echinoderm vitality.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clearly indicates that while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possesses a moderate evolutionary tolerance for short-term emersion (such as enduring low tides in the wild), extended airfreight transport poses severe risks of desiccation and metabolic exhaustion. Survival and fitness drop precipitously as emersion times approach the 24- to 48-hour marks, particularly if temperatures are not strictly managed. Maintaining a carefully cooled environment of approximately 12°C proved highly effective at depressing the urchin's basal metabolic rate just enough to prevent rapid oxygen depletion and severe tissue desiccation without inducing lethal cold-shock (which occurred rapidly at 4°C).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commercial operations, establishing these precise ~12°C cold-chain logistics is just as vital as the 30-day conditioning phase; failing to respect the narrow emersion tolerances of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results in total cargo loss or severely degraded product upon arrival at premium markets.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and Third-Order Implications for Global Aquaculture Ecology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deep synthesis of physical, dietary, photobiological, genetic, and logistical data from the March 2026 reports yields several profound, higher-order implications that extend far beyond the basic biology of </w:t>
      </w:r>
      <w:r w:rsidDel="00000000" w:rsidR="00000000" w:rsidRPr="00000000">
        <w:rPr>
          <w:rFonts w:ascii="Google Sans" w:cs="Google Sans" w:eastAsia="Google Sans" w:hAnsi="Google Sans"/>
          <w:i w:val="1"/>
          <w:iCs w:val="1"/>
          <w:color w:val="1f1f1f"/>
          <w:rtl w:val="0"/>
        </w:rPr>
        <w:t xml:space="preserve">Tripneustes gratilla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Economic Efficiency and Accelerated Turnaround Rates</w:t>
      </w:r>
      <w:r w:rsidDel="00000000" w:rsidR="00000000" w:rsidRPr="00000000">
        <w:rPr>
          <w:rFonts w:ascii="Google Sans" w:cs="Google Sans" w:eastAsia="Google Sans" w:hAnsi="Google Sans"/>
          <w:color w:val="1f1f1f"/>
          <w:rtl w:val="0"/>
        </w:rPr>
        <w:t xml:space="preserve">: The synergistic application of the 450 nm blue LED light and the highly specific brown-dominant biomimicry macroalgal blend fundamentally alters the foundational economics of urchin fattening. By dramatically increasing the Weight Gain Rate (WGR) from roughly 26% to an exceptional 39.26% over a standard 30-day photoperiod, facility operators can significantly and safely reduce the total duration of the conditioning phase.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biological acceleration allows for a much higher annualized turnover rate of the holding baskets, drastically improving the ultimate return on capital investment for heavily capitalized onshore RAS facilities. Furthermore, the light-induced upregulation of pepsin ensures that the expensive, complex protein inputs found in formulated or cultured feeds are actually assimilated into the gonad rather than excreted uselessly as nitrogenous waste, thereby severely lowering the absolute feed conversion ratio (FCR) and improving operational margins.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Circular Ecology and Complete Decoupling from Wild Harvest</w:t>
      </w:r>
      <w:r w:rsidDel="00000000" w:rsidR="00000000" w:rsidRPr="00000000">
        <w:rPr>
          <w:rFonts w:ascii="Google Sans" w:cs="Google Sans" w:eastAsia="Google Sans" w:hAnsi="Google Sans"/>
          <w:color w:val="1f1f1f"/>
          <w:rtl w:val="0"/>
        </w:rPr>
        <w:t xml:space="preserve">: The mandated 30% </w:t>
      </w:r>
      <w:r w:rsidDel="00000000" w:rsidR="00000000" w:rsidRPr="00000000">
        <w:rPr>
          <w:rFonts w:ascii="Google Sans" w:cs="Google Sans" w:eastAsia="Google Sans" w:hAnsi="Google Sans"/>
          <w:i w:val="1"/>
          <w:iCs w:val="1"/>
          <w:color w:val="1f1f1f"/>
          <w:rtl w:val="0"/>
        </w:rPr>
        <w:t xml:space="preserve">Ulva lacinulata</w:t>
      </w:r>
      <w:r w:rsidDel="00000000" w:rsidR="00000000" w:rsidRPr="00000000">
        <w:rPr>
          <w:rFonts w:ascii="Google Sans" w:cs="Google Sans" w:eastAsia="Google Sans" w:hAnsi="Google Sans"/>
          <w:color w:val="1f1f1f"/>
          <w:rtl w:val="0"/>
        </w:rPr>
        <w:t xml:space="preserve"> dietary inclusion seamlessly integrates intensive sea urchin conditioning directly into highly sustainable IMTA protocols.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Traditionally, urchin farming relied heavily on the continuous, destructive wild-harvesting of native kelp forests, creating intense ecological strain on local macroalgal ecosystems. By utilizing </w:t>
      </w:r>
      <w:r w:rsidDel="00000000" w:rsidR="00000000" w:rsidRPr="00000000">
        <w:rPr>
          <w:rFonts w:ascii="Google Sans" w:cs="Google Sans" w:eastAsia="Google Sans" w:hAnsi="Google Sans"/>
          <w:i w:val="1"/>
          <w:iCs w:val="1"/>
          <w:color w:val="1f1f1f"/>
          <w:rtl w:val="0"/>
        </w:rPr>
        <w:t xml:space="preserve">Ulva</w:t>
      </w:r>
      <w:r w:rsidDel="00000000" w:rsidR="00000000" w:rsidRPr="00000000">
        <w:rPr>
          <w:rFonts w:ascii="Google Sans" w:cs="Google Sans" w:eastAsia="Google Sans" w:hAnsi="Google Sans"/>
          <w:color w:val="1f1f1f"/>
          <w:rtl w:val="0"/>
        </w:rPr>
        <w:t xml:space="preserve"> that is generated entirely as an internal biofiltration byproduct within the same exact facility, the aquaculture operation heavily decouples itself from marine resource extraction, achieving a highly sought-after degree of commercial circularity. Furthermore, the targeted, highly specific use of the stiff morphotype of </w:t>
      </w:r>
      <w:r w:rsidDel="00000000" w:rsidR="00000000" w:rsidRPr="00000000">
        <w:rPr>
          <w:rFonts w:ascii="Google Sans" w:cs="Google Sans" w:eastAsia="Google Sans" w:hAnsi="Google Sans"/>
          <w:i w:val="1"/>
          <w:iCs w:val="1"/>
          <w:color w:val="1f1f1f"/>
          <w:rtl w:val="0"/>
        </w:rPr>
        <w:t xml:space="preserve">Turbinaria ornata</w:t>
      </w:r>
      <w:r w:rsidDel="00000000" w:rsidR="00000000" w:rsidRPr="00000000">
        <w:rPr>
          <w:rFonts w:ascii="Google Sans" w:cs="Google Sans" w:eastAsia="Google Sans" w:hAnsi="Google Sans"/>
          <w:color w:val="1f1f1f"/>
          <w:rtl w:val="0"/>
        </w:rPr>
        <w:t xml:space="preserve"> (at just a 10% inclusion) further reduces reliance on highly specific or rare algal inputs. This allows facilities to utilize an abundant, rapidly growing, and often highly invasive tropical macroalga to perfectly fulfill complex mechanical grazing requirements.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Climate Resilience and Global Food Security Stratification</w:t>
      </w:r>
      <w:r w:rsidDel="00000000" w:rsidR="00000000" w:rsidRPr="00000000">
        <w:rPr>
          <w:rFonts w:ascii="Google Sans" w:cs="Google Sans" w:eastAsia="Google Sans" w:hAnsi="Google Sans"/>
          <w:color w:val="1f1f1f"/>
          <w:rtl w:val="0"/>
        </w:rPr>
        <w:t xml:space="preserve">: As the crisis of global ocean acidification worsens, wild </w:t>
      </w:r>
      <w:r w:rsidDel="00000000" w:rsidR="00000000" w:rsidRPr="00000000">
        <w:rPr>
          <w:rFonts w:ascii="Google Sans" w:cs="Google Sans" w:eastAsia="Google Sans" w:hAnsi="Google Sans"/>
          <w:i w:val="1"/>
          <w:iCs w:val="1"/>
          <w:color w:val="1f1f1f"/>
          <w:rtl w:val="0"/>
        </w:rPr>
        <w:t xml:space="preserve">T. gratilla</w:t>
      </w:r>
      <w:r w:rsidDel="00000000" w:rsidR="00000000" w:rsidRPr="00000000">
        <w:rPr>
          <w:rFonts w:ascii="Google Sans" w:cs="Google Sans" w:eastAsia="Google Sans" w:hAnsi="Google Sans"/>
          <w:color w:val="1f1f1f"/>
          <w:rtl w:val="0"/>
        </w:rPr>
        <w:t xml:space="preserve"> populations face severe, insurmountable reproductive suppression. As previously established, even minor drops in oceanic pH toward 7.6 virtually eliminate natural gonad indices despite adequate environmental foraging.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Consequently, the global supply chain of wild-caught uni is inherently highly vulnerable to systemic, unpredictable ecological collapse. The intensive, precision-controlled land-based protocols detailed throughout this report represent a critical, highly engineered biological buffer against this reality. By completely isolating the urchins from acidifying marine conditions while simultaneously exploiting their natural thermal plasticity (tolerating +3°C to rapidly accelerate somatic growth) in land-based RAS setups, the advanced aquaculture sector can guarantee market stability and premium product quality entirely regardless of localized marine heatwaves, severe storms, or systemic pH fluctuations.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successful, highly profitable commercial conditioning of the tropical sea urchin </w:t>
      </w:r>
      <w:r w:rsidDel="00000000" w:rsidR="00000000" w:rsidRPr="00000000">
        <w:rPr>
          <w:rFonts w:ascii="Google Sans" w:cs="Google Sans" w:eastAsia="Google Sans" w:hAnsi="Google Sans"/>
          <w:i w:val="1"/>
          <w:iCs w:val="1"/>
          <w:color w:val="1f1f1f"/>
          <w:rtl w:val="0"/>
        </w:rPr>
        <w:t xml:space="preserve">Tripneustes gratilla</w:t>
      </w:r>
      <w:r w:rsidDel="00000000" w:rsidR="00000000" w:rsidRPr="00000000">
        <w:rPr>
          <w:rFonts w:ascii="Google Sans" w:cs="Google Sans" w:eastAsia="Google Sans" w:hAnsi="Google Sans"/>
          <w:color w:val="1f1f1f"/>
          <w:rtl w:val="0"/>
        </w:rPr>
        <w:t xml:space="preserve"> demands a complete paradigm departure from rudimentary feeding operations in favor of highly controlled, multi-variable precision aquaculture. The extensive March 2026 data clearly and unequivocally indicates that optimizing the Gonad Index and securing premium market quality requires the seamless, simultaneous integration of spatial, nutritional, photobiological, genetic, and logistical parameters.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Deploying shallow (15 cm) holding baskets maximizes critical horizontal feed interfacing, while operating confidently at high stocking densities (up to 8 kg/m²) ensures maximum facility efficiency without ever penalizing mortality or final product quality.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Nutritionally, the codification of the "Brown-Dominant" strategy represents a massive leap forward. This sophisticated biomimicry blend—comprising 60% </w:t>
      </w:r>
      <w:r w:rsidDel="00000000" w:rsidR="00000000" w:rsidRPr="00000000">
        <w:rPr>
          <w:rFonts w:ascii="Google Sans" w:cs="Google Sans" w:eastAsia="Google Sans" w:hAnsi="Google Sans"/>
          <w:i w:val="1"/>
          <w:iCs w:val="1"/>
          <w:color w:val="1f1f1f"/>
          <w:rtl w:val="0"/>
        </w:rPr>
        <w:t xml:space="preserve">Sargassum/Cystoseira</w:t>
      </w:r>
      <w:r w:rsidDel="00000000" w:rsidR="00000000" w:rsidRPr="00000000">
        <w:rPr>
          <w:rFonts w:ascii="Google Sans" w:cs="Google Sans" w:eastAsia="Google Sans" w:hAnsi="Google Sans"/>
          <w:color w:val="1f1f1f"/>
          <w:rtl w:val="0"/>
        </w:rPr>
        <w:t xml:space="preserve"> for rapid, polysaccharide-driven caloric fueling, 30% </w:t>
      </w:r>
      <w:r w:rsidDel="00000000" w:rsidR="00000000" w:rsidRPr="00000000">
        <w:rPr>
          <w:rFonts w:ascii="Google Sans" w:cs="Google Sans" w:eastAsia="Google Sans" w:hAnsi="Google Sans"/>
          <w:i w:val="1"/>
          <w:iCs w:val="1"/>
          <w:color w:val="1f1f1f"/>
          <w:rtl w:val="0"/>
        </w:rPr>
        <w:t xml:space="preserve">Ulva lacinulata</w:t>
      </w:r>
      <w:r w:rsidDel="00000000" w:rsidR="00000000" w:rsidRPr="00000000">
        <w:rPr>
          <w:rFonts w:ascii="Google Sans" w:cs="Google Sans" w:eastAsia="Google Sans" w:hAnsi="Google Sans"/>
          <w:color w:val="1f1f1f"/>
          <w:rtl w:val="0"/>
        </w:rPr>
        <w:t xml:space="preserve"> for vital carotenoid transfer and IMTA circularity, and 10% stiff-morphotype </w:t>
      </w:r>
      <w:r w:rsidDel="00000000" w:rsidR="00000000" w:rsidRPr="00000000">
        <w:rPr>
          <w:rFonts w:ascii="Google Sans" w:cs="Google Sans" w:eastAsia="Google Sans" w:hAnsi="Google Sans"/>
          <w:i w:val="1"/>
          <w:iCs w:val="1"/>
          <w:color w:val="1f1f1f"/>
          <w:rtl w:val="0"/>
        </w:rPr>
        <w:t xml:space="preserve">Turbinaria ornata</w:t>
      </w:r>
      <w:r w:rsidDel="00000000" w:rsidR="00000000" w:rsidRPr="00000000">
        <w:rPr>
          <w:rFonts w:ascii="Google Sans" w:cs="Google Sans" w:eastAsia="Google Sans" w:hAnsi="Google Sans"/>
          <w:color w:val="1f1f1f"/>
          <w:rtl w:val="0"/>
        </w:rPr>
        <w:t xml:space="preserve"> for requisite Aristotle's lantern mechanical maintenance—provides a holistic, evolutionarily appropriate baseline that generic monocultures mathematically cannot replicate.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critically, the breakthrough technical insight requires that the holding environment be illuminated continuously via monochromatic blue LED light (</w:t>
      </w:r>
      <w:r w:rsidDel="00000000" w:rsidR="00000000" w:rsidRPr="00000000">
        <w:rPr>
          <w:rFonts w:ascii="Google Sans" w:cs="Google Sans" w:eastAsia="Google Sans" w:hAnsi="Google Sans"/>
          <w:color w:val="1f1f1f"/>
        </w:rPr>
        <w:drawing>
          <wp:inline distB="19050" distT="19050" distL="19050" distR="19050">
            <wp:extent cx="886420" cy="228754"/>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86420" cy="2287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highly specific spectral environment acts as a profound neuroendocrine trigger that brilliantly mitigates systemic oxidative stress (stabilizing vital SOD and CAT enzymes), massively upregulates digestive pepsin viability to ensure maximum protein absorption, and drives an unprecedented nearly 40% gain in specific weight over just 30 days.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these environmental and nutritional master-protocols are coupled with rigorous, DNA-level broodstock genetic management to protect the highly heritable (</w:t>
      </w:r>
      <w:r w:rsidDel="00000000" w:rsidR="00000000" w:rsidRPr="00000000">
        <w:rPr>
          <w:rFonts w:ascii="Google Sans" w:cs="Google Sans" w:eastAsia="Google Sans" w:hAnsi="Google Sans"/>
          <w:color w:val="1f1f1f"/>
        </w:rPr>
        <w:drawing>
          <wp:inline distB="19050" distT="19050" distL="19050" distR="19050">
            <wp:extent cx="753814" cy="229007"/>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753814" cy="2290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sensory trait of gonad sweetness from the ravages of inbreeding depression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and finalized with precise 12°C cold-chain emersion logistics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integrated methodologies establish a highly efficient, ecologically scalable, and deeply resilient blueprint for the ultimate future of the global sea urchin aquaculture industry.</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live sea urchins: Effects of temperature and exposure time on survival - Cross Connect, accessed on April 2, 2026, </w:t>
      </w:r>
      <w:hyperlink r:id="rId31">
        <w:r w:rsidDel="00000000" w:rsidR="00000000" w:rsidRPr="00000000">
          <w:rPr>
            <w:rFonts w:ascii="Google Sans" w:cs="Google Sans" w:eastAsia="Google Sans" w:hAnsi="Google Sans"/>
            <w:color w:val="0000ee"/>
            <w:sz w:val="24"/>
            <w:szCs w:val="24"/>
            <w:u w:val="single"/>
            <w:rtl w:val="0"/>
          </w:rPr>
          <w:t xml:space="preserve">https://researchportal.scu.edu.au/view/pdfCoverPage?instCode=61SCU_INST&amp;filePid=13122827750002368&amp;download=true</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Feeding preference and performance in the tropical sea urchin Tripneustes gratilla, accessed on April 2, 2026, </w:t>
      </w:r>
      <w:hyperlink r:id="rId32">
        <w:r w:rsidDel="00000000" w:rsidR="00000000" w:rsidRPr="00000000">
          <w:rPr>
            <w:rFonts w:ascii="Google Sans" w:cs="Google Sans" w:eastAsia="Google Sans" w:hAnsi="Google Sans"/>
            <w:color w:val="0000ee"/>
            <w:sz w:val="24"/>
            <w:szCs w:val="24"/>
            <w:u w:val="single"/>
            <w:rtl w:val="0"/>
          </w:rPr>
          <w:t xml:space="preserve">https://researchportal.scu.edu.au/esploro/outputs/journalArticle/Feeding-preference-and-performance-in-the/991012822120202368</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Potential for the commercial culture of the tropical sea urchin Tripneustes gratilla in Australia, accessed on April 2, 2026, </w:t>
      </w:r>
      <w:hyperlink r:id="rId33">
        <w:r w:rsidDel="00000000" w:rsidR="00000000" w:rsidRPr="00000000">
          <w:rPr>
            <w:rFonts w:ascii="Google Sans" w:cs="Google Sans" w:eastAsia="Google Sans" w:hAnsi="Google Sans"/>
            <w:color w:val="0000ee"/>
            <w:sz w:val="24"/>
            <w:szCs w:val="24"/>
            <w:u w:val="single"/>
            <w:rtl w:val="0"/>
          </w:rPr>
          <w:t xml:space="preserve">https://researchportal.scu.edu.au/esploro/outputs/report/Potential-for-the-commercial-culture-of/991012867300002368</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Light Color on the Growth, Feeding, Digestion, and Antioxidant Enzymes of Tripneustes gratilla (Linnaeus, 1758) - MDPI, accessed on April 2, 2026, </w:t>
      </w:r>
      <w:hyperlink r:id="rId34">
        <w:r w:rsidDel="00000000" w:rsidR="00000000" w:rsidRPr="00000000">
          <w:rPr>
            <w:rFonts w:ascii="Google Sans" w:cs="Google Sans" w:eastAsia="Google Sans" w:hAnsi="Google Sans"/>
            <w:color w:val="0000ee"/>
            <w:sz w:val="24"/>
            <w:szCs w:val="24"/>
            <w:u w:val="single"/>
            <w:rtl w:val="0"/>
          </w:rPr>
          <w:t xml:space="preserve">https://www.mdpi.com/2079-7737/13/2/65</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Impacts of ocean acidification on sea urchin growth across the juvenile to mature adult life-stage transition is mitigated by warming - PubMed, accessed on April 2, 2026, </w:t>
      </w:r>
      <w:hyperlink r:id="rId35">
        <w:r w:rsidDel="00000000" w:rsidR="00000000" w:rsidRPr="00000000">
          <w:rPr>
            <w:rFonts w:ascii="Google Sans" w:cs="Google Sans" w:eastAsia="Google Sans" w:hAnsi="Google Sans"/>
            <w:color w:val="0000ee"/>
            <w:sz w:val="24"/>
            <w:szCs w:val="24"/>
            <w:u w:val="single"/>
            <w:rtl w:val="0"/>
          </w:rPr>
          <w:t xml:space="preserve">https://pubmed.ncbi.nlm.nih.gov/29643209/</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basket height and stocking density on production of the sea urchin Tripneustes gratilla: insights and recommendations - ResearchOnline@JCU, accessed on April 2, 2026, </w:t>
      </w:r>
      <w:hyperlink r:id="rId36">
        <w:r w:rsidDel="00000000" w:rsidR="00000000" w:rsidRPr="00000000">
          <w:rPr>
            <w:rFonts w:ascii="Google Sans" w:cs="Google Sans" w:eastAsia="Google Sans" w:hAnsi="Google Sans"/>
            <w:color w:val="0000ee"/>
            <w:sz w:val="24"/>
            <w:szCs w:val="24"/>
            <w:u w:val="single"/>
            <w:rtl w:val="0"/>
          </w:rPr>
          <w:t xml:space="preserve">https://researchonline.jcu.edu.au/81740/</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live sea urchins: Effects of temperature and exposure time on survival, accessed on April 2, 2026, </w:t>
      </w:r>
      <w:hyperlink r:id="rId37">
        <w:r w:rsidDel="00000000" w:rsidR="00000000" w:rsidRPr="00000000">
          <w:rPr>
            <w:rFonts w:ascii="Google Sans" w:cs="Google Sans" w:eastAsia="Google Sans" w:hAnsi="Google Sans"/>
            <w:color w:val="0000ee"/>
            <w:sz w:val="24"/>
            <w:szCs w:val="24"/>
            <w:u w:val="single"/>
            <w:rtl w:val="0"/>
          </w:rPr>
          <w:t xml:space="preserve">https://researchportal.scu.edu.au/esploro/outputs/journalArticle/Shipping-live-sea-urchins-Effects-of/991013175611602368</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live sea urchins: Effects of temperature and exposure time on survival - Cross Connect, accessed on April 2, 2026, </w:t>
      </w:r>
      <w:hyperlink r:id="rId38">
        <w:r w:rsidDel="00000000" w:rsidR="00000000" w:rsidRPr="00000000">
          <w:rPr>
            <w:rFonts w:ascii="Google Sans" w:cs="Google Sans" w:eastAsia="Google Sans" w:hAnsi="Google Sans"/>
            <w:color w:val="0000ee"/>
            <w:sz w:val="24"/>
            <w:szCs w:val="24"/>
            <w:u w:val="single"/>
            <w:rtl w:val="0"/>
          </w:rPr>
          <w:t xml:space="preserve">https://researchportal.scu.edu.au/esploro/fulltext/journalArticle/Shipping-live-sea-urchins-Effects-of/991013175611602368?repId=12122928540002368&amp;mId=13122827750002368&amp;institution=61SCU_INST</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development of a formulated feed containing Ulva (Chlorophyta) to promote rapid growth and enhanced production of high quality roe in the sea urchin Tripneustes gratilla (Linnaeus) - ResearchGate, accessed on April 2,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https://www.researchgate.net/publication/230667858_The_development_of_a_formulated_feed_containing_Ulva_Chlorophyta_to_promote_rapid_growth_and_enhanced_production_of_high_quality_roe_in_the_sea_urchin_Tripneustes_gratilla_Linnaeus</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ASTRAL - European Commission, accessed on April 2, 2026, </w:t>
      </w:r>
      <w:hyperlink r:id="rId40">
        <w:r w:rsidDel="00000000" w:rsidR="00000000" w:rsidRPr="00000000">
          <w:rPr>
            <w:rFonts w:ascii="Google Sans" w:cs="Google Sans" w:eastAsia="Google Sans" w:hAnsi="Google Sans"/>
            <w:color w:val="0000ee"/>
            <w:sz w:val="24"/>
            <w:szCs w:val="24"/>
            <w:u w:val="single"/>
            <w:rtl w:val="0"/>
          </w:rPr>
          <w:t xml:space="preserve">https://ec.europa.eu/research/participants/documents/downloadPublic?documentIds=080166e507263da1&amp;appId=PPGMS</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Estimates of heritabilities and genetic correlations for growth and gonad traits in the sea urchin Strongylocentrotus intermedius | Request PDF - ResearchGate, accessed on April 2,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https://www.researchgate.net/publication/263081663_Estimates_of_heritabilities_and_genetic_correlations_for_growth_and_gonad_traits_in_the_sea_urchin_Strongylocentrotus_intermedius</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SICB 2008 Annual Meeting Abstracts - Oxford Academic, accessed on April 2, 2026, </w:t>
      </w:r>
      <w:hyperlink r:id="rId42">
        <w:r w:rsidDel="00000000" w:rsidR="00000000" w:rsidRPr="00000000">
          <w:rPr>
            <w:rFonts w:ascii="Google Sans" w:cs="Google Sans" w:eastAsia="Google Sans" w:hAnsi="Google Sans"/>
            <w:color w:val="0000ee"/>
            <w:sz w:val="24"/>
            <w:szCs w:val="24"/>
            <w:u w:val="single"/>
            <w:rtl w:val="0"/>
          </w:rPr>
          <w:t xml:space="preserve">https://academic.oup.com/icb/article-pdf/47/suppl_1/e1/1773997/icm104.pdf</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Compounded effects of sea urchin grazing and physical disturbance on macroalgal canopies in the lagoon of Moorea, French Polynesia | Request PDF - ResearchGate, accessed on April 2, 2026,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https://www.researchgate.net/publication/362421626_Compounded_effects_of_sea_urchin_grazing_and_physical_disturbance_on_macroalgal_canopies_in_the_lagoon_of_Moorea_French_Polynesia</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Light Color on the Growth, Feeding, Digestion, and Antioxidant Enzymes of Tripneustes gratilla (Linnaeus, 1758) - PMC, accessed on April 2, 2026,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https://pmc.ncbi.nlm.nih.gov/articles/PMC10886290/</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Composition of the formulated feed (dry weight). | Download Table - ResearchGate, accessed on April 2,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https://www.researchgate.net/figure/Composition-of-the-formulated-feed-dry-weight_tbl1_282890378</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in shallow waters: A brief research review | Request PDF - ResearchGate, accessed on April 2,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https://www.researchgate.net/publication/228811294_Light_in_shallow_waters_A_brief_research_review</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Light Color on the Growth, Feeding, Digestion, and Antioxidant Enzymes of &gt;Tripneustes gratilla&gt; (Linnaeus, 1758) - Research @ Flinders, accessed on April 2, 2026, </w:t>
      </w:r>
      <w:hyperlink r:id="rId47">
        <w:r w:rsidDel="00000000" w:rsidR="00000000" w:rsidRPr="00000000">
          <w:rPr>
            <w:rFonts w:ascii="Google Sans" w:cs="Google Sans" w:eastAsia="Google Sans" w:hAnsi="Google Sans"/>
            <w:color w:val="0000ee"/>
            <w:sz w:val="24"/>
            <w:szCs w:val="24"/>
            <w:u w:val="single"/>
            <w:rtl w:val="0"/>
          </w:rPr>
          <w:t xml:space="preserve">https://researchnow.flinders.edu.au/en/publications/effects-of-light-color-on-the-growth-feeding-digestion-and-antiox/</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effects on the reproductive performance of the sea urchin Tripneustes gratilla ll: Implications for offspring performance | Request PDF - ResearchGate, accessed on April 2, 2026,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https://www.researchgate.net/publication/358634188_Dietary_effects_on_the_reproductive_performance_of_the_sea_urchin_Tripneustes_gratilla_ll_Implications_for_offspring_performance</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different monochromatic light colours on growth performance, feeding, antioxidant capacity, transcriptomic response and gut microbiota of juvenile spotted sea bass (Lateolabrax maculatus) | Request PDF - ResearchGate, accessed on April 2,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https://www.researchgate.net/publication/394768810_Effects_of_different_monochromatic_light_colours_on_growth_performance_feeding_antioxidant_capacity_transcriptomic_response_and_gut_microbiota_of_juvenile_spotted_sea_bass_Lateolabrax_maculatus</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Chronic effects of light irradiated from LED on the growth performance and endocrine properties of barfin flounder Verasper moseri | Request PDF - ResearchGate, accessed on April 2, 2026, </w:t>
      </w:r>
      <w:hyperlink r:id="rId50">
        <w:r w:rsidDel="00000000" w:rsidR="00000000" w:rsidRPr="00000000">
          <w:rPr>
            <w:rFonts w:ascii="Google Sans" w:cs="Google Sans" w:eastAsia="Google Sans" w:hAnsi="Google Sans"/>
            <w:color w:val="0000ee"/>
            <w:sz w:val="24"/>
            <w:szCs w:val="24"/>
            <w:u w:val="single"/>
            <w:rtl w:val="0"/>
          </w:rPr>
          <w:t xml:space="preserve">https://www.researchgate.net/publication/290509822_Chronic_effects_of_light_irradiated_from_LED_on_the_growth_performance_and_endocrine_properties_of_barfin_flounder_Verasper_moseri</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Reproductive Cycle of Edible Echinoderms from the Southwestern Indian Ocean I. Tripneustes gratilla L. (Echinoidea, Echinodermatata) - ResearchGate, accessed on April 2,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https://www.researchgate.net/publication/272458887_Reproductive_Cycle_of_Edible_Echinoderms_from_the_Southwestern_Indian_Ocean_I_Tripneustes_gratilla_L_Echinoidea_Echinodermatata</w:t>
        </w:r>
      </w:hyperlink>
      <w:r w:rsidDel="00000000" w:rsidR="00000000" w:rsidRPr="00000000">
        <w:rPr>
          <w:rtl w:val="0"/>
        </w:rPr>
      </w:r>
    </w:p>
    <w:sectPr>
      <w:pgSz w:h="16838" w:w="11906"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c.europa.eu/research/participants/documents/downloadPublic?documentIds=080166e507263da1&amp;appId=PPGMS" TargetMode="External"/><Relationship Id="rId42" Type="http://schemas.openxmlformats.org/officeDocument/2006/relationships/hyperlink" Target="https://academic.oup.com/icb/article-pdf/47/suppl_1/e1/1773997/icm104.pdf" TargetMode="External"/><Relationship Id="rId41" Type="http://schemas.openxmlformats.org/officeDocument/2006/relationships/hyperlink" Target="https://www.researchgate.net/publication/263081663_Estimates_of_heritabilities_and_genetic_correlations_for_growth_and_gonad_traits_in_the_sea_urchin_Strongylocentrotus_intermedius" TargetMode="External"/><Relationship Id="rId44" Type="http://schemas.openxmlformats.org/officeDocument/2006/relationships/hyperlink" Target="https://pmc.ncbi.nlm.nih.gov/articles/PMC10886290/" TargetMode="External"/><Relationship Id="rId43" Type="http://schemas.openxmlformats.org/officeDocument/2006/relationships/hyperlink" Target="https://www.researchgate.net/publication/362421626_Compounded_effects_of_sea_urchin_grazing_and_physical_disturbance_on_macroalgal_canopies_in_the_lagoon_of_Moorea_French_Polynesia" TargetMode="External"/><Relationship Id="rId46" Type="http://schemas.openxmlformats.org/officeDocument/2006/relationships/hyperlink" Target="https://www.researchgate.net/publication/228811294_Light_in_shallow_waters_A_brief_research_review" TargetMode="External"/><Relationship Id="rId45" Type="http://schemas.openxmlformats.org/officeDocument/2006/relationships/hyperlink" Target="https://www.researchgate.net/figure/Composition-of-the-formulated-feed-dry-weight_tbl1_2828903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hyperlink" Target="https://www.researchgate.net/publication/358634188_Dietary_effects_on_the_reproductive_performance_of_the_sea_urchin_Tripneustes_gratilla_ll_Implications_for_offspring_performance" TargetMode="External"/><Relationship Id="rId47" Type="http://schemas.openxmlformats.org/officeDocument/2006/relationships/hyperlink" Target="https://researchnow.flinders.edu.au/en/publications/effects-of-light-color-on-the-growth-feeding-digestion-and-antiox/" TargetMode="External"/><Relationship Id="rId49" Type="http://schemas.openxmlformats.org/officeDocument/2006/relationships/hyperlink" Target="https://www.researchgate.net/publication/394768810_Effects_of_different_monochromatic_light_colours_on_growth_performance_feeding_antioxidant_capacity_transcriptomic_response_and_gut_microbiota_of_juvenile_spotted_sea_bass_Lateolabrax_maculatus"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4.png"/><Relationship Id="rId31" Type="http://schemas.openxmlformats.org/officeDocument/2006/relationships/hyperlink" Target="https://researchportal.scu.edu.au/view/pdfCoverPage?instCode=61SCU_INST&amp;filePid=13122827750002368&amp;download=true" TargetMode="External"/><Relationship Id="rId30" Type="http://schemas.openxmlformats.org/officeDocument/2006/relationships/image" Target="media/image25.png"/><Relationship Id="rId33" Type="http://schemas.openxmlformats.org/officeDocument/2006/relationships/hyperlink" Target="https://researchportal.scu.edu.au/esploro/outputs/report/Potential-for-the-commercial-culture-of/991012867300002368" TargetMode="External"/><Relationship Id="rId32" Type="http://schemas.openxmlformats.org/officeDocument/2006/relationships/hyperlink" Target="https://researchportal.scu.edu.au/esploro/outputs/journalArticle/Feeding-preference-and-performance-in-the/991012822120202368" TargetMode="External"/><Relationship Id="rId35" Type="http://schemas.openxmlformats.org/officeDocument/2006/relationships/hyperlink" Target="https://pubmed.ncbi.nlm.nih.gov/29643209/" TargetMode="External"/><Relationship Id="rId34" Type="http://schemas.openxmlformats.org/officeDocument/2006/relationships/hyperlink" Target="https://www.mdpi.com/2079-7737/13/2/65" TargetMode="External"/><Relationship Id="rId37" Type="http://schemas.openxmlformats.org/officeDocument/2006/relationships/hyperlink" Target="https://researchportal.scu.edu.au/esploro/outputs/journalArticle/Shipping-live-sea-urchins-Effects-of/991013175611602368" TargetMode="External"/><Relationship Id="rId36" Type="http://schemas.openxmlformats.org/officeDocument/2006/relationships/hyperlink" Target="https://researchonline.jcu.edu.au/81740/" TargetMode="External"/><Relationship Id="rId39" Type="http://schemas.openxmlformats.org/officeDocument/2006/relationships/hyperlink" Target="https://www.researchgate.net/publication/230667858_The_development_of_a_formulated_feed_containing_Ulva_Chlorophyta_to_promote_rapid_growth_and_enhanced_production_of_high_quality_roe_in_the_sea_urchin_Tripneustes_gratilla_Linnaeus" TargetMode="External"/><Relationship Id="rId38" Type="http://schemas.openxmlformats.org/officeDocument/2006/relationships/hyperlink" Target="https://researchportal.scu.edu.au/esploro/fulltext/journalArticle/Shipping-live-sea-urchins-Effects-of/991013175611602368?repId=12122928540002368&amp;mId=13122827750002368&amp;institution=61SCU_INST" TargetMode="External"/><Relationship Id="rId20" Type="http://schemas.openxmlformats.org/officeDocument/2006/relationships/image" Target="media/image23.png"/><Relationship Id="rId22" Type="http://schemas.openxmlformats.org/officeDocument/2006/relationships/image" Target="media/image3.png"/><Relationship Id="rId21" Type="http://schemas.openxmlformats.org/officeDocument/2006/relationships/image" Target="media/image7.png"/><Relationship Id="rId24" Type="http://schemas.openxmlformats.org/officeDocument/2006/relationships/image" Target="media/image2.png"/><Relationship Id="rId23" Type="http://schemas.openxmlformats.org/officeDocument/2006/relationships/image" Target="media/image1.png"/><Relationship Id="rId26" Type="http://schemas.openxmlformats.org/officeDocument/2006/relationships/image" Target="media/image13.png"/><Relationship Id="rId25" Type="http://schemas.openxmlformats.org/officeDocument/2006/relationships/image" Target="media/image18.png"/><Relationship Id="rId28" Type="http://schemas.openxmlformats.org/officeDocument/2006/relationships/image" Target="media/image20.png"/><Relationship Id="rId27" Type="http://schemas.openxmlformats.org/officeDocument/2006/relationships/image" Target="media/image12.png"/><Relationship Id="rId29" Type="http://schemas.openxmlformats.org/officeDocument/2006/relationships/image" Target="media/image10.png"/><Relationship Id="rId51" Type="http://schemas.openxmlformats.org/officeDocument/2006/relationships/hyperlink" Target="https://www.researchgate.net/publication/272458887_Reproductive_Cycle_of_Edible_Echinoderms_from_the_Southwestern_Indian_Ocean_I_Tripneustes_gratilla_L_Echinoidea_Echinodermatata" TargetMode="External"/><Relationship Id="rId50" Type="http://schemas.openxmlformats.org/officeDocument/2006/relationships/hyperlink" Target="https://www.researchgate.net/publication/290509822_Chronic_effects_of_light_irradiated_from_LED_on_the_growth_performance_and_endocrine_properties_of_barfin_flounder_Verasper_moseri" TargetMode="External"/><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14.png"/><Relationship Id="rId12" Type="http://schemas.openxmlformats.org/officeDocument/2006/relationships/image" Target="media/image11.png"/><Relationship Id="rId15" Type="http://schemas.openxmlformats.org/officeDocument/2006/relationships/image" Target="media/image19.png"/><Relationship Id="rId14" Type="http://schemas.openxmlformats.org/officeDocument/2006/relationships/image" Target="media/image16.png"/><Relationship Id="rId17" Type="http://schemas.openxmlformats.org/officeDocument/2006/relationships/image" Target="media/image21.png"/><Relationship Id="rId16" Type="http://schemas.openxmlformats.org/officeDocument/2006/relationships/image" Target="media/image15.png"/><Relationship Id="rId19" Type="http://schemas.openxmlformats.org/officeDocument/2006/relationships/image" Target="media/image17.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