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i w:val="1"/>
          <w:iCs w:val="1"/>
          <w:color w:val="000000"/>
          <w:sz w:val="26"/>
          <w:szCs w:val="26"/>
        </w:rPr>
      </w:pPr>
      <w:bookmarkStart w:colFirst="0" w:colLast="0" w:name="_w4wh1v1kgn4w" w:id="0"/>
      <w:bookmarkEnd w:id="0"/>
      <w:r w:rsidDel="00000000" w:rsidR="00000000" w:rsidRPr="00000000">
        <w:rPr>
          <w:b w:val="1"/>
          <w:bCs w:val="1"/>
          <w:color w:val="000000"/>
          <w:sz w:val="26"/>
          <w:szCs w:val="26"/>
          <w:rtl w:val="0"/>
        </w:rPr>
        <w:t xml:space="preserve">Stocking Density Recommendations for </w:t>
      </w:r>
      <w:r w:rsidDel="00000000" w:rsidR="00000000" w:rsidRPr="00000000">
        <w:rPr>
          <w:b w:val="1"/>
          <w:bCs w:val="1"/>
          <w:i w:val="1"/>
          <w:iCs w:val="1"/>
          <w:color w:val="000000"/>
          <w:sz w:val="26"/>
          <w:szCs w:val="26"/>
          <w:rtl w:val="0"/>
        </w:rPr>
        <w:t xml:space="preserve">Tripneustes gratilla</w:t>
      </w:r>
    </w:p>
    <w:p w:rsidR="00000000" w:rsidDel="00000000" w:rsidP="00000000" w:rsidRDefault="00000000" w:rsidRPr="00000000" w14:paraId="00000002">
      <w:pPr>
        <w:spacing w:after="240" w:before="240" w:lineRule="auto"/>
        <w:rPr/>
      </w:pPr>
      <w:r w:rsidDel="00000000" w:rsidR="00000000" w:rsidRPr="00000000">
        <w:rPr>
          <w:rtl w:val="0"/>
        </w:rPr>
        <w:t xml:space="preserve">The optimal stocking density for both the grow-out and gonad enhancement phases of </w:t>
      </w:r>
      <w:r w:rsidDel="00000000" w:rsidR="00000000" w:rsidRPr="00000000">
        <w:rPr>
          <w:i w:val="1"/>
          <w:iCs w:val="1"/>
          <w:rtl w:val="0"/>
        </w:rPr>
        <w:t xml:space="preserve">Tripneustes gratilla</w:t>
      </w:r>
      <w:r w:rsidDel="00000000" w:rsidR="00000000" w:rsidRPr="00000000">
        <w:rPr>
          <w:rtl w:val="0"/>
        </w:rPr>
        <w:t xml:space="preserve"> production is approximately </w:t>
      </w:r>
      <w:r w:rsidDel="00000000" w:rsidR="00000000" w:rsidRPr="00000000">
        <w:rPr>
          <w:b w:val="1"/>
          <w:bCs w:val="1"/>
          <w:rtl w:val="0"/>
        </w:rPr>
        <w:t xml:space="preserve">20% coverage</w:t>
      </w:r>
      <w:r w:rsidDel="00000000" w:rsidR="00000000" w:rsidRPr="00000000">
        <w:rPr>
          <w:rtl w:val="0"/>
        </w:rPr>
        <w:t xml:space="preserve">. This recommendation assumes that there are no major resource or water quality limitations in the aquaculture facility.</w:t>
      </w:r>
    </w:p>
    <w:p w:rsidR="00000000" w:rsidDel="00000000" w:rsidP="00000000" w:rsidRDefault="00000000" w:rsidRPr="00000000" w14:paraId="00000003">
      <w:pPr>
        <w:numPr>
          <w:ilvl w:val="0"/>
          <w:numId w:val="4"/>
        </w:numPr>
        <w:spacing w:after="240" w:before="240" w:lineRule="auto"/>
        <w:ind w:left="720" w:hanging="360"/>
      </w:pPr>
      <w:r w:rsidDel="00000000" w:rsidR="00000000" w:rsidRPr="00000000">
        <w:rPr>
          <w:b w:val="1"/>
          <w:bCs w:val="1"/>
          <w:rtl w:val="0"/>
        </w:rPr>
        <w:t xml:space="preserve">Coverage</w:t>
      </w:r>
      <w:r w:rsidDel="00000000" w:rsidR="00000000" w:rsidRPr="00000000">
        <w:rPr>
          <w:rtl w:val="0"/>
        </w:rPr>
        <w:t xml:space="preserve"> refers to the surface area occupied by the urchins' tests (not including spines) as a proportion of the total available surface area within the holding unit.</w:t>
      </w:r>
    </w:p>
    <w:p w:rsidR="00000000" w:rsidDel="00000000" w:rsidP="00000000" w:rsidRDefault="00000000" w:rsidRPr="00000000" w14:paraId="00000004">
      <w:pPr>
        <w:spacing w:after="240" w:before="240" w:lineRule="auto"/>
        <w:rPr/>
      </w:pPr>
      <w:r w:rsidDel="00000000" w:rsidR="00000000" w:rsidRPr="00000000">
        <w:rPr>
          <w:rtl w:val="0"/>
        </w:rPr>
        <w:t xml:space="preserve">This conclusion is based on several experiments where various stocking densities of </w:t>
      </w:r>
      <w:r w:rsidDel="00000000" w:rsidR="00000000" w:rsidRPr="00000000">
        <w:rPr>
          <w:i w:val="1"/>
          <w:iCs w:val="1"/>
          <w:rtl w:val="0"/>
        </w:rPr>
        <w:t xml:space="preserve">T. gratilla</w:t>
      </w:r>
      <w:r w:rsidDel="00000000" w:rsidR="00000000" w:rsidRPr="00000000">
        <w:rPr>
          <w:rtl w:val="0"/>
        </w:rPr>
        <w:t xml:space="preserve"> were compared. It was observed that:</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Higher stocking densities, specifically 22.77% coverage or greater, significantly reduced the weight gain of individual urchins.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Densities greater than 29.87% cover significantly reduced the specific growth rate of diameter.</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There was no clear evidence that stocking density influenced the quantity or quality of gonads.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Stocking density did not affect the net increase in mass of a basket, meaning that a higher number of individuals in a fixed space will result in a proportionally higher yield, despite each individual growing less.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Factors to Consider When Determining Stocking Density:</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Resource limitations:</w:t>
      </w:r>
      <w:r w:rsidDel="00000000" w:rsidR="00000000" w:rsidRPr="00000000">
        <w:rPr>
          <w:rtl w:val="0"/>
        </w:rPr>
        <w:t xml:space="preserve"> When the supply of urchin juveniles or feed is restricted or expensive, lower stocking densities will increase profit by maximising the potential of each urchin.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Operational constraints:</w:t>
      </w:r>
      <w:r w:rsidDel="00000000" w:rsidR="00000000" w:rsidRPr="00000000">
        <w:rPr>
          <w:rtl w:val="0"/>
        </w:rPr>
        <w:t xml:space="preserve"> If feed is inexpensive and juvenile urchins are readily available, but there are constraints on running costs or available space, higher stocking densities may be utilised.</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Risk of catastrophic events:</w:t>
      </w:r>
      <w:r w:rsidDel="00000000" w:rsidR="00000000" w:rsidRPr="00000000">
        <w:rPr>
          <w:rtl w:val="0"/>
        </w:rPr>
        <w:t xml:space="preserve"> Greater densities may produce higher yields, but they also increase the risk of catastrophic events such as disease outbreaks or system malfunctions, which could lead to mass mortality.</w:t>
      </w:r>
    </w:p>
    <w:p w:rsidR="00000000" w:rsidDel="00000000" w:rsidP="00000000" w:rsidRDefault="00000000" w:rsidRPr="00000000" w14:paraId="0000000D">
      <w:pPr>
        <w:spacing w:after="240" w:before="240" w:lineRule="auto"/>
        <w:rPr/>
      </w:pPr>
      <w:r w:rsidDel="00000000" w:rsidR="00000000" w:rsidRPr="00000000">
        <w:rPr>
          <w:rtl w:val="0"/>
        </w:rPr>
        <w:t xml:space="preserve">The 20% coverage recommendation is a conservative starting point for </w:t>
      </w:r>
      <w:r w:rsidDel="00000000" w:rsidR="00000000" w:rsidRPr="00000000">
        <w:rPr>
          <w:i w:val="1"/>
          <w:iCs w:val="1"/>
          <w:rtl w:val="0"/>
        </w:rPr>
        <w:t xml:space="preserve">T. gratilla</w:t>
      </w:r>
      <w:r w:rsidDel="00000000" w:rsidR="00000000" w:rsidRPr="00000000">
        <w:rPr>
          <w:rtl w:val="0"/>
        </w:rPr>
        <w:t xml:space="preserve"> culture. Each facility should determine its own optimal stocking density based on its specific limitations and risk tolerance.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cuuhw41qfu" w:id="1"/>
      <w:bookmarkEnd w:id="1"/>
      <w:r w:rsidDel="00000000" w:rsidR="00000000" w:rsidRPr="00000000">
        <w:rPr>
          <w:b w:val="1"/>
          <w:bCs w:val="1"/>
          <w:color w:val="000000"/>
          <w:sz w:val="26"/>
          <w:szCs w:val="26"/>
          <w:rtl w:val="0"/>
        </w:rPr>
        <w:t xml:space="preserve">Stocking Density Recommendations for Commercial </w:t>
      </w:r>
      <w:r w:rsidDel="00000000" w:rsidR="00000000" w:rsidRPr="00000000">
        <w:rPr>
          <w:b w:val="1"/>
          <w:bCs w:val="1"/>
          <w:i w:val="1"/>
          <w:iCs w:val="1"/>
          <w:color w:val="000000"/>
          <w:sz w:val="26"/>
          <w:szCs w:val="26"/>
          <w:rtl w:val="0"/>
        </w:rPr>
        <w:t xml:space="preserve">Tripneustes gratilla</w:t>
      </w:r>
      <w:r w:rsidDel="00000000" w:rsidR="00000000" w:rsidRPr="00000000">
        <w:rPr>
          <w:b w:val="1"/>
          <w:bCs w:val="1"/>
          <w:color w:val="000000"/>
          <w:sz w:val="26"/>
          <w:szCs w:val="26"/>
          <w:rtl w:val="0"/>
        </w:rPr>
        <w:t xml:space="preserve"> Farming</w:t>
      </w:r>
    </w:p>
    <w:p w:rsidR="00000000" w:rsidDel="00000000" w:rsidP="00000000" w:rsidRDefault="00000000" w:rsidRPr="00000000" w14:paraId="0000000F">
      <w:pPr>
        <w:spacing w:after="240" w:before="240" w:lineRule="auto"/>
        <w:rPr/>
      </w:pPr>
      <w:r w:rsidDel="00000000" w:rsidR="00000000" w:rsidRPr="00000000">
        <w:rPr>
          <w:rtl w:val="0"/>
        </w:rPr>
        <w:t xml:space="preserve">The optimal stocking density for both the grow-out and gonad enhancement phases of </w:t>
      </w:r>
      <w:r w:rsidDel="00000000" w:rsidR="00000000" w:rsidRPr="00000000">
        <w:rPr>
          <w:i w:val="1"/>
          <w:iCs w:val="1"/>
          <w:rtl w:val="0"/>
        </w:rPr>
        <w:t xml:space="preserve">Tripneustes gratilla</w:t>
      </w:r>
      <w:r w:rsidDel="00000000" w:rsidR="00000000" w:rsidRPr="00000000">
        <w:rPr>
          <w:rtl w:val="0"/>
        </w:rPr>
        <w:t xml:space="preserve"> production is approximately </w:t>
      </w:r>
      <w:r w:rsidDel="00000000" w:rsidR="00000000" w:rsidRPr="00000000">
        <w:rPr>
          <w:b w:val="1"/>
          <w:bCs w:val="1"/>
          <w:rtl w:val="0"/>
        </w:rPr>
        <w:t xml:space="preserve">20% coverage</w:t>
      </w:r>
      <w:r w:rsidDel="00000000" w:rsidR="00000000" w:rsidRPr="00000000">
        <w:rPr>
          <w:rtl w:val="0"/>
        </w:rPr>
        <w:t xml:space="preserve">, regardless of urchin size. </w:t>
      </w:r>
      <w:r w:rsidDel="00000000" w:rsidR="00000000" w:rsidRPr="00000000">
        <w:rPr>
          <w:b w:val="1"/>
          <w:bCs w:val="1"/>
          <w:rtl w:val="0"/>
        </w:rPr>
        <w:t xml:space="preserve">Coverage</w:t>
      </w:r>
      <w:r w:rsidDel="00000000" w:rsidR="00000000" w:rsidRPr="00000000">
        <w:rPr>
          <w:rtl w:val="0"/>
        </w:rPr>
        <w:t xml:space="preserve"> refers to the surface area occupied by all the urchins' tests (excluding spines) in a basket as a proportion of the total available surface area. This recommendation applies when there are no major resource or water quality limitations in the aquaculture facility.</w:t>
      </w:r>
    </w:p>
    <w:p w:rsidR="00000000" w:rsidDel="00000000" w:rsidP="00000000" w:rsidRDefault="00000000" w:rsidRPr="00000000" w14:paraId="00000010">
      <w:pPr>
        <w:spacing w:after="240" w:before="240" w:lineRule="auto"/>
        <w:rPr/>
      </w:pPr>
      <w:r w:rsidDel="00000000" w:rsidR="00000000" w:rsidRPr="00000000">
        <w:rPr>
          <w:rtl w:val="0"/>
        </w:rPr>
        <w:t xml:space="preserve">While higher stocking densities, up to 20% coverage, do not appear to affect mortality, cannibalism, or gonad size and quality, they do significantly reduce the specific growth rates of average individual urchin mass. However, despite reduced individual growth rates, total urchin gonad production (on a tank or farm scale) is greater at this higher density.</w:t>
      </w:r>
    </w:p>
    <w:p w:rsidR="00000000" w:rsidDel="00000000" w:rsidP="00000000" w:rsidRDefault="00000000" w:rsidRPr="00000000" w14:paraId="00000011">
      <w:pPr>
        <w:spacing w:after="240" w:before="240" w:lineRule="auto"/>
        <w:rPr/>
      </w:pPr>
      <w:r w:rsidDel="00000000" w:rsidR="00000000" w:rsidRPr="00000000">
        <w:rPr>
          <w:rtl w:val="0"/>
        </w:rPr>
        <w:t xml:space="preserve">Each aquaculture facility will need to consider its specific limitations to determine its own optimal stocking density. For instance, low densities should be used to maximise the potential of each urchin if juvenile supply or feed is limited or expensive. On the other hand, if there are no limitations on feed, but only running cost and spatial limitations, then higher densities should be used.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4uxjsb4kbft" w:id="2"/>
      <w:bookmarkEnd w:id="2"/>
      <w:r w:rsidDel="00000000" w:rsidR="00000000" w:rsidRPr="00000000">
        <w:rPr>
          <w:b w:val="1"/>
          <w:bCs w:val="1"/>
          <w:color w:val="000000"/>
          <w:sz w:val="26"/>
          <w:szCs w:val="26"/>
          <w:rtl w:val="0"/>
        </w:rPr>
        <w:t xml:space="preserve">Negative Behavioural Interactions at High Stocking Densities</w:t>
      </w:r>
    </w:p>
    <w:p w:rsidR="00000000" w:rsidDel="00000000" w:rsidP="00000000" w:rsidRDefault="00000000" w:rsidRPr="00000000" w14:paraId="00000013">
      <w:pPr>
        <w:spacing w:after="240" w:before="240" w:lineRule="auto"/>
        <w:rPr/>
      </w:pPr>
      <w:r w:rsidDel="00000000" w:rsidR="00000000" w:rsidRPr="00000000">
        <w:rPr>
          <w:rtl w:val="0"/>
        </w:rPr>
        <w:t xml:space="preserve">At high stocking densities, negative behavioural interactions between urchins can occur, including collisions that result in spine loss, competition for food or accessibility to food, and cannibalism. The frequency and severity of these interactions increase proportionally with stocking density as a result of the reduced surface area, increasing encounters between individuals and potentially causing stress. Spine loss negatively impacts gonad and somatic growth. While the exact nature of the interaction leading to spine loss is unclear, it is suggested that unintended collisions, attempts at cannibalism, or fighting between individuals over food or space may be contributing factors. Cannibalism can be avoided by frequently grading urchins, using appropriate feeding regimes, and maintaining suitable stocking densities.</w:t>
      </w:r>
    </w:p>
    <w:p w:rsidR="00000000" w:rsidDel="00000000" w:rsidP="00000000" w:rsidRDefault="00000000" w:rsidRPr="00000000" w14:paraId="00000014">
      <w:pPr>
        <w:rPr>
          <w:b w:val="1"/>
          <w:bCs w:val="1"/>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thesis, titled "The Feasibility of a Commercial-Scale Recirculating Aquaculture System Integrating Sea Urchins </w:t>
      </w:r>
      <w:r w:rsidDel="00000000" w:rsidR="00000000" w:rsidRPr="00000000">
        <w:rPr>
          <w:i w:val="1"/>
          <w:iCs w:val="1"/>
          <w:rtl w:val="0"/>
        </w:rPr>
        <w:t xml:space="preserve">(Tripneustes gratilla</w:t>
      </w:r>
      <w:r w:rsidDel="00000000" w:rsidR="00000000" w:rsidRPr="00000000">
        <w:rPr>
          <w:rtl w:val="0"/>
        </w:rPr>
        <w:t xml:space="preserve">) and Seaweed </w:t>
      </w:r>
      <w:r w:rsidDel="00000000" w:rsidR="00000000" w:rsidRPr="00000000">
        <w:rPr>
          <w:i w:val="1"/>
          <w:iCs w:val="1"/>
          <w:rtl w:val="0"/>
        </w:rPr>
        <w:t xml:space="preserve">(Ulva</w:t>
      </w:r>
      <w:r w:rsidDel="00000000" w:rsidR="00000000" w:rsidRPr="00000000">
        <w:rPr>
          <w:rtl w:val="0"/>
        </w:rPr>
        <w:t xml:space="preserve">)", was written by Sebastiaan “Bas” Colin de Vos and submitted in March 2023.</w:t>
      </w:r>
      <w:r w:rsidDel="00000000" w:rsidR="00000000" w:rsidRPr="00000000">
        <w:rPr>
          <w:rtl w:val="0"/>
        </w:rPr>
        <w:t xml:space="preserve"> </w:t>
      </w:r>
      <w:r w:rsidDel="00000000" w:rsidR="00000000" w:rsidRPr="00000000">
        <w:rPr>
          <w:rtl w:val="0"/>
        </w:rPr>
        <w:t xml:space="preserve">The copyright of the thesis belongs to the author.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Supervisors and Acknowledgements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Dr. Brett M. Macey, from the Department of Fisheries, Forestry and Environment, South Africa, was one of the supervisors of the experimental work discussed in the thesis.</w:t>
      </w:r>
      <w:r w:rsidDel="00000000" w:rsidR="00000000" w:rsidRPr="00000000">
        <w:rPr>
          <w:rtl w:val="0"/>
        </w:rPr>
        <w:t xml:space="preserve"> </w:t>
      </w:r>
      <w:r w:rsidDel="00000000" w:rsidR="00000000" w:rsidRPr="00000000">
        <w:rPr>
          <w:rtl w:val="0"/>
        </w:rPr>
        <w:t xml:space="preserve">De Vos thanks Macey for his support, stating that his "professionalism and work ethic have been inspiring" and that he is grateful for the time and effort Macey put into proofreading the thesis.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i w:val="1"/>
          <w:iCs w:val="1"/>
        </w:rPr>
      </w:pPr>
      <w:r w:rsidDel="00000000" w:rsidR="00000000" w:rsidRPr="00000000">
        <w:rPr>
          <w:rtl w:val="0"/>
        </w:rPr>
        <w:t xml:space="preserve">**</w:t>
      </w:r>
      <w:r w:rsidDel="00000000" w:rsidR="00000000" w:rsidRPr="00000000">
        <w:rPr>
          <w:rtl w:val="0"/>
        </w:rPr>
        <w:t xml:space="preserve">Stocking Density Recommendations for </w:t>
      </w:r>
      <w:r w:rsidDel="00000000" w:rsidR="00000000" w:rsidRPr="00000000">
        <w:rPr>
          <w:b w:val="1"/>
          <w:bCs w:val="1"/>
          <w:i w:val="1"/>
          <w:iCs w:val="1"/>
          <w:rtl w:val="0"/>
        </w:rPr>
        <w:t xml:space="preserve">Tripneustes gratilla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optimal stocking density for both the grow-out and gonad enhancement phases of </w:t>
      </w:r>
      <w:r w:rsidDel="00000000" w:rsidR="00000000" w:rsidRPr="00000000">
        <w:rPr>
          <w:i w:val="1"/>
          <w:iCs w:val="1"/>
          <w:rtl w:val="0"/>
        </w:rPr>
        <w:t xml:space="preserve">Tripneustes gratilla</w:t>
      </w:r>
      <w:r w:rsidDel="00000000" w:rsidR="00000000" w:rsidRPr="00000000">
        <w:rPr>
          <w:rtl w:val="0"/>
        </w:rPr>
        <w:t xml:space="preserve"> production is approximately 20% coverage.</w:t>
      </w:r>
      <w:r w:rsidDel="00000000" w:rsidR="00000000" w:rsidRPr="00000000">
        <w:rPr>
          <w:rtl w:val="0"/>
        </w:rPr>
        <w:t xml:space="preserve"> </w:t>
      </w:r>
      <w:r w:rsidDel="00000000" w:rsidR="00000000" w:rsidRPr="00000000">
        <w:rPr>
          <w:rtl w:val="0"/>
        </w:rPr>
        <w:t xml:space="preserve">This recommendation assumes that there are no major resource or water quality limitations in the aquaculture facility.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Coverage</w:t>
      </w:r>
      <w:r w:rsidDel="00000000" w:rsidR="00000000" w:rsidRPr="00000000">
        <w:rPr>
          <w:rtl w:val="0"/>
        </w:rPr>
        <w:t xml:space="preserve"> refers to the surface area occupied by the urchins' tests (not including spines) as a proportion of the total available surface area within the holding unit.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conclusion is based on several experiments where various stocking densities of </w:t>
      </w:r>
      <w:r w:rsidDel="00000000" w:rsidR="00000000" w:rsidRPr="00000000">
        <w:rPr>
          <w:i w:val="1"/>
          <w:iCs w:val="1"/>
          <w:rtl w:val="0"/>
        </w:rPr>
        <w:t xml:space="preserve">T. gratilla</w:t>
      </w:r>
      <w:r w:rsidDel="00000000" w:rsidR="00000000" w:rsidRPr="00000000">
        <w:rPr>
          <w:rtl w:val="0"/>
        </w:rPr>
        <w:t xml:space="preserve"> were compared.</w:t>
      </w:r>
      <w:r w:rsidDel="00000000" w:rsidR="00000000" w:rsidRPr="00000000">
        <w:rPr>
          <w:rtl w:val="0"/>
        </w:rPr>
        <w:t xml:space="preserve"> </w:t>
      </w:r>
      <w:r w:rsidDel="00000000" w:rsidR="00000000" w:rsidRPr="00000000">
        <w:rPr>
          <w:rtl w:val="0"/>
        </w:rPr>
        <w:t xml:space="preserve">It was observed that:</w:t>
      </w:r>
      <w:r w:rsidDel="00000000" w:rsidR="00000000" w:rsidRPr="00000000">
        <w:rPr>
          <w:rtl w:val="0"/>
        </w:rPr>
      </w:r>
    </w:p>
    <w:p w:rsidR="00000000" w:rsidDel="00000000" w:rsidP="00000000" w:rsidRDefault="00000000" w:rsidRPr="00000000" w14:paraId="00000023">
      <w:pPr>
        <w:widowControl w:val="0"/>
        <w:numPr>
          <w:ilvl w:val="0"/>
          <w:numId w:val="1"/>
        </w:numPr>
        <w:spacing w:after="0" w:afterAutospacing="0" w:before="240" w:lineRule="auto"/>
        <w:ind w:left="720" w:hanging="360"/>
      </w:pPr>
      <w:r w:rsidDel="00000000" w:rsidR="00000000" w:rsidRPr="00000000">
        <w:rPr>
          <w:rtl w:val="0"/>
        </w:rPr>
        <w:t xml:space="preserve">Higher stocking densities, specifically 22.77% coverage or greater, significantly reduced the weight gain of individual urchins.</w:t>
      </w:r>
      <w:r w:rsidDel="00000000" w:rsidR="00000000" w:rsidRPr="00000000">
        <w:rPr>
          <w:rtl w:val="0"/>
        </w:rPr>
      </w:r>
    </w:p>
    <w:p w:rsidR="00000000" w:rsidDel="00000000" w:rsidP="00000000" w:rsidRDefault="00000000" w:rsidRPr="00000000" w14:paraId="00000024">
      <w:pPr>
        <w:widowControl w:val="0"/>
        <w:numPr>
          <w:ilvl w:val="0"/>
          <w:numId w:val="1"/>
        </w:numPr>
        <w:spacing w:after="0" w:afterAutospacing="0" w:before="0" w:beforeAutospacing="0" w:lineRule="auto"/>
        <w:ind w:left="720" w:hanging="360"/>
      </w:pPr>
      <w:r w:rsidDel="00000000" w:rsidR="00000000" w:rsidRPr="00000000">
        <w:rPr>
          <w:rtl w:val="0"/>
        </w:rPr>
        <w:t xml:space="preserve">Densities greater than 29.87% cover significantly reduced the specific growth rate of diameter.</w:t>
      </w:r>
      <w:r w:rsidDel="00000000" w:rsidR="00000000" w:rsidRPr="00000000">
        <w:rPr>
          <w:rtl w:val="0"/>
        </w:rPr>
      </w:r>
    </w:p>
    <w:p w:rsidR="00000000" w:rsidDel="00000000" w:rsidP="00000000" w:rsidRDefault="00000000" w:rsidRPr="00000000" w14:paraId="00000025">
      <w:pPr>
        <w:widowControl w:val="0"/>
        <w:numPr>
          <w:ilvl w:val="0"/>
          <w:numId w:val="1"/>
        </w:numPr>
        <w:spacing w:after="0" w:afterAutospacing="0" w:before="0" w:beforeAutospacing="0" w:lineRule="auto"/>
        <w:ind w:left="720" w:hanging="360"/>
      </w:pPr>
      <w:r w:rsidDel="00000000" w:rsidR="00000000" w:rsidRPr="00000000">
        <w:rPr>
          <w:rtl w:val="0"/>
        </w:rPr>
        <w:t xml:space="preserve">There was no clear evidence that stocking density influenced the quantity or quality of gonads.</w:t>
      </w:r>
      <w:r w:rsidDel="00000000" w:rsidR="00000000" w:rsidRPr="00000000">
        <w:rPr>
          <w:rtl w:val="0"/>
        </w:rPr>
      </w:r>
    </w:p>
    <w:p w:rsidR="00000000" w:rsidDel="00000000" w:rsidP="00000000" w:rsidRDefault="00000000" w:rsidRPr="00000000" w14:paraId="00000026">
      <w:pPr>
        <w:widowControl w:val="0"/>
        <w:numPr>
          <w:ilvl w:val="0"/>
          <w:numId w:val="1"/>
        </w:numPr>
        <w:spacing w:after="240" w:before="0" w:beforeAutospacing="0" w:lineRule="auto"/>
        <w:ind w:left="720" w:hanging="360"/>
      </w:pPr>
      <w:r w:rsidDel="00000000" w:rsidR="00000000" w:rsidRPr="00000000">
        <w:rPr>
          <w:rtl w:val="0"/>
        </w:rPr>
        <w:t xml:space="preserve">Stocking density did not affect the net increase in mass of a basket, meaning that a higher number of individuals in a fixed space will result in a proportionally higher yield, despite each individual growing less.</w:t>
      </w:r>
      <w:r w:rsidDel="00000000" w:rsidR="00000000" w:rsidRPr="00000000">
        <w:rPr>
          <w:rtl w:val="0"/>
        </w:rPr>
      </w:r>
    </w:p>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Factors to Consider When Determining Stocking Density:</w:t>
      </w:r>
      <w:r w:rsidDel="00000000" w:rsidR="00000000" w:rsidRPr="00000000">
        <w:rPr>
          <w:rtl w:val="0"/>
        </w:rPr>
      </w:r>
    </w:p>
    <w:p w:rsidR="00000000" w:rsidDel="00000000" w:rsidP="00000000" w:rsidRDefault="00000000" w:rsidRPr="00000000" w14:paraId="00000028">
      <w:pPr>
        <w:widowControl w:val="0"/>
        <w:numPr>
          <w:ilvl w:val="0"/>
          <w:numId w:val="5"/>
        </w:numPr>
        <w:spacing w:after="0" w:afterAutospacing="0" w:before="240" w:lineRule="auto"/>
        <w:ind w:left="720" w:hanging="360"/>
      </w:pPr>
      <w:r w:rsidDel="00000000" w:rsidR="00000000" w:rsidRPr="00000000">
        <w:rPr>
          <w:b w:val="1"/>
          <w:bCs w:val="1"/>
          <w:rtl w:val="0"/>
        </w:rPr>
        <w:t xml:space="preserve">Resource limitations:</w:t>
      </w:r>
      <w:r w:rsidDel="00000000" w:rsidR="00000000" w:rsidRPr="00000000">
        <w:rPr>
          <w:rtl w:val="0"/>
        </w:rPr>
        <w:t xml:space="preserve"> When the supply of urchin juveniles or feed is restricted or expensive, lower stocking densities will increase profit by maximizing the potential of each urchin.</w:t>
      </w:r>
      <w:r w:rsidDel="00000000" w:rsidR="00000000" w:rsidRPr="00000000">
        <w:rPr>
          <w:rtl w:val="0"/>
        </w:rPr>
      </w:r>
    </w:p>
    <w:p w:rsidR="00000000" w:rsidDel="00000000" w:rsidP="00000000" w:rsidRDefault="00000000" w:rsidRPr="00000000" w14:paraId="00000029">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Operational constraints:</w:t>
      </w:r>
      <w:r w:rsidDel="00000000" w:rsidR="00000000" w:rsidRPr="00000000">
        <w:rPr>
          <w:rtl w:val="0"/>
        </w:rPr>
        <w:t xml:space="preserve"> If feed is inexpensive and juvenile urchins are readily available, but there are constraints on running costs or available space, higher stocking densities may be utilized.</w:t>
      </w:r>
      <w:r w:rsidDel="00000000" w:rsidR="00000000" w:rsidRPr="00000000">
        <w:rPr>
          <w:rtl w:val="0"/>
        </w:rPr>
      </w:r>
    </w:p>
    <w:p w:rsidR="00000000" w:rsidDel="00000000" w:rsidP="00000000" w:rsidRDefault="00000000" w:rsidRPr="00000000" w14:paraId="0000002A">
      <w:pPr>
        <w:widowControl w:val="0"/>
        <w:numPr>
          <w:ilvl w:val="0"/>
          <w:numId w:val="5"/>
        </w:numPr>
        <w:spacing w:after="240" w:before="0" w:beforeAutospacing="0" w:lineRule="auto"/>
        <w:ind w:left="720" w:hanging="360"/>
      </w:pPr>
      <w:r w:rsidDel="00000000" w:rsidR="00000000" w:rsidRPr="00000000">
        <w:rPr>
          <w:b w:val="1"/>
          <w:bCs w:val="1"/>
          <w:rtl w:val="0"/>
        </w:rPr>
        <w:t xml:space="preserve">Risk of catastrophic events:</w:t>
      </w:r>
      <w:r w:rsidDel="00000000" w:rsidR="00000000" w:rsidRPr="00000000">
        <w:rPr>
          <w:rtl w:val="0"/>
        </w:rPr>
        <w:t xml:space="preserve"> Greater densities may produce higher yields, but they also increase the risk of catastrophic events such as disease outbreaks or system malfunctions, which could lead to mass mortality.</w:t>
      </w: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The 20% coverage recommendation is a conservative starting point for </w:t>
      </w:r>
      <w:r w:rsidDel="00000000" w:rsidR="00000000" w:rsidRPr="00000000">
        <w:rPr>
          <w:i w:val="1"/>
          <w:iCs w:val="1"/>
          <w:rtl w:val="0"/>
        </w:rPr>
        <w:t xml:space="preserve">T. gratilla</w:t>
      </w:r>
      <w:r w:rsidDel="00000000" w:rsidR="00000000" w:rsidRPr="00000000">
        <w:rPr>
          <w:rtl w:val="0"/>
        </w:rPr>
        <w:t xml:space="preserve"> culture.</w:t>
      </w:r>
      <w:r w:rsidDel="00000000" w:rsidR="00000000" w:rsidRPr="00000000">
        <w:rPr>
          <w:rtl w:val="0"/>
        </w:rPr>
        <w:t xml:space="preserve"> </w:t>
      </w:r>
      <w:r w:rsidDel="00000000" w:rsidR="00000000" w:rsidRPr="00000000">
        <w:rPr>
          <w:rtl w:val="0"/>
        </w:rPr>
        <w:t xml:space="preserve">Each facility should determine its own optimal stocking density based on its specific limitations and risk tolerance.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Stocking Density Recommendations for Commercial </w:t>
      </w:r>
      <w:r w:rsidDel="00000000" w:rsidR="00000000" w:rsidRPr="00000000">
        <w:rPr>
          <w:b w:val="1"/>
          <w:bCs w:val="1"/>
          <w:i w:val="1"/>
          <w:iCs w:val="1"/>
          <w:rtl w:val="0"/>
        </w:rPr>
        <w:t xml:space="preserve">Tripneustes gratilla</w:t>
      </w:r>
      <w:r w:rsidDel="00000000" w:rsidR="00000000" w:rsidRPr="00000000">
        <w:rPr>
          <w:b w:val="1"/>
          <w:bCs w:val="1"/>
          <w:rtl w:val="0"/>
        </w:rPr>
        <w:t xml:space="preserve"> Farming</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optimal stocking density for both the grow-out and gonad enhancement phases of </w:t>
      </w:r>
      <w:r w:rsidDel="00000000" w:rsidR="00000000" w:rsidRPr="00000000">
        <w:rPr>
          <w:i w:val="1"/>
          <w:iCs w:val="1"/>
          <w:rtl w:val="0"/>
        </w:rPr>
        <w:t xml:space="preserve">Tripneustes gratilla</w:t>
      </w:r>
      <w:r w:rsidDel="00000000" w:rsidR="00000000" w:rsidRPr="00000000">
        <w:rPr>
          <w:rtl w:val="0"/>
        </w:rPr>
        <w:t xml:space="preserve"> production is approximately 20% coverage, regardless of urchin size.</w:t>
      </w:r>
      <w:r w:rsidDel="00000000" w:rsidR="00000000" w:rsidRPr="00000000">
        <w:rPr>
          <w:rtl w:val="0"/>
        </w:rPr>
        <w:t xml:space="preserve"> </w:t>
      </w:r>
      <w:r w:rsidDel="00000000" w:rsidR="00000000" w:rsidRPr="00000000">
        <w:rPr>
          <w:b w:val="1"/>
          <w:bCs w:val="1"/>
          <w:rtl w:val="0"/>
        </w:rPr>
        <w:t xml:space="preserve">Coverage</w:t>
      </w:r>
      <w:r w:rsidDel="00000000" w:rsidR="00000000" w:rsidRPr="00000000">
        <w:rPr>
          <w:rtl w:val="0"/>
        </w:rPr>
        <w:t xml:space="preserve"> refers to the surface area occupied by all the urchins' tests (excluding spines) in a basket as a proportion of the total available surface area.</w:t>
      </w:r>
      <w:r w:rsidDel="00000000" w:rsidR="00000000" w:rsidRPr="00000000">
        <w:rPr>
          <w:rtl w:val="0"/>
        </w:rPr>
        <w:t xml:space="preserve"> </w:t>
      </w:r>
      <w:r w:rsidDel="00000000" w:rsidR="00000000" w:rsidRPr="00000000">
        <w:rPr>
          <w:rtl w:val="0"/>
        </w:rPr>
        <w:t xml:space="preserve">This recommendation applies when there are no major resource or water quality limitations in the aquaculture facility.</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While higher stocking densities, up to 20% coverage, do not appear to affect mortality, cannibalism, or gonad size and quality, they do significantly reduce the specific growth rates of average individual urchin mass.</w:t>
      </w:r>
      <w:r w:rsidDel="00000000" w:rsidR="00000000" w:rsidRPr="00000000">
        <w:rPr>
          <w:rtl w:val="0"/>
        </w:rPr>
        <w:t xml:space="preserve"> </w:t>
      </w:r>
      <w:r w:rsidDel="00000000" w:rsidR="00000000" w:rsidRPr="00000000">
        <w:rPr>
          <w:rtl w:val="0"/>
        </w:rPr>
        <w:t xml:space="preserve">However, despite reduced individual growth rates, total urchin gonad production (on a tank or farm scale) is greater at this higher density.</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Each aquaculture facility will need to consider its specific limitations to determine its own optimal stocking density.</w:t>
      </w:r>
      <w:r w:rsidDel="00000000" w:rsidR="00000000" w:rsidRPr="00000000">
        <w:rPr>
          <w:rtl w:val="0"/>
        </w:rPr>
        <w:t xml:space="preserve"> </w:t>
      </w:r>
      <w:r w:rsidDel="00000000" w:rsidR="00000000" w:rsidRPr="00000000">
        <w:rPr>
          <w:rtl w:val="0"/>
        </w:rPr>
        <w:t xml:space="preserve">For instance, low densities should be used to maximize the potential of each urchin if juvenile supply or feed is limited or expensive.</w:t>
      </w:r>
      <w:r w:rsidDel="00000000" w:rsidR="00000000" w:rsidRPr="00000000">
        <w:rPr>
          <w:rtl w:val="0"/>
        </w:rPr>
        <w:t xml:space="preserve"> </w:t>
      </w:r>
      <w:r w:rsidDel="00000000" w:rsidR="00000000" w:rsidRPr="00000000">
        <w:rPr>
          <w:rtl w:val="0"/>
        </w:rPr>
        <w:t xml:space="preserve">On the other hand, if there are no limitations on feed, but only running cost and spatial limitations, then higher densities should be used.</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Negative Behavioural Interactions at High Stocking Densities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 high stocking densities, negative behavioral interactions between urchins can occur, including collisions that result in spine loss, competition for food or accessibility to food, and cannibalism.</w:t>
      </w:r>
      <w:r w:rsidDel="00000000" w:rsidR="00000000" w:rsidRPr="00000000">
        <w:rPr>
          <w:rtl w:val="0"/>
        </w:rPr>
        <w:t xml:space="preserve"> </w:t>
      </w:r>
      <w:r w:rsidDel="00000000" w:rsidR="00000000" w:rsidRPr="00000000">
        <w:rPr>
          <w:rtl w:val="0"/>
        </w:rPr>
        <w:t xml:space="preserve">The frequency and severity of these interactions increase proportionally with stocking density as a result of the reduced surface area, increasing encounters between individuals and potentially causing stress.</w:t>
      </w:r>
      <w:r w:rsidDel="00000000" w:rsidR="00000000" w:rsidRPr="00000000">
        <w:rPr>
          <w:rtl w:val="0"/>
        </w:rPr>
        <w:t xml:space="preserve"> </w:t>
      </w:r>
      <w:r w:rsidDel="00000000" w:rsidR="00000000" w:rsidRPr="00000000">
        <w:rPr>
          <w:rtl w:val="0"/>
        </w:rPr>
        <w:t xml:space="preserve">Spine loss negatively impacts gonad and somatic growth.</w:t>
      </w:r>
      <w:r w:rsidDel="00000000" w:rsidR="00000000" w:rsidRPr="00000000">
        <w:rPr>
          <w:rtl w:val="0"/>
        </w:rPr>
        <w:t xml:space="preserve"> </w:t>
      </w:r>
      <w:r w:rsidDel="00000000" w:rsidR="00000000" w:rsidRPr="00000000">
        <w:rPr>
          <w:rtl w:val="0"/>
        </w:rPr>
        <w:t xml:space="preserve">While the exact nature of the interaction leading to spine loss is unclear, it is suggested that unintended collisions, attempts at cannibalism, or fighting between individuals over food or space may be contributing factors.</w:t>
      </w:r>
      <w:r w:rsidDel="00000000" w:rsidR="00000000" w:rsidRPr="00000000">
        <w:rPr>
          <w:rtl w:val="0"/>
        </w:rPr>
        <w:t xml:space="preserve"> </w:t>
      </w:r>
      <w:r w:rsidDel="00000000" w:rsidR="00000000" w:rsidRPr="00000000">
        <w:rPr>
          <w:rtl w:val="0"/>
        </w:rPr>
        <w:t xml:space="preserve">Cannibalism can be avoided by frequently grading urchins, using appropriate feeding regimes, and maintaining suitable stocking densities.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thesis provides valuable insights into the optimal stocking density for both the grow-out and gonad enhancement phases of commercial </w:t>
      </w:r>
      <w:r w:rsidDel="00000000" w:rsidR="00000000" w:rsidRPr="00000000">
        <w:rPr>
          <w:i w:val="1"/>
          <w:iCs w:val="1"/>
          <w:rtl w:val="0"/>
        </w:rPr>
        <w:t xml:space="preserve">Tripneustes gratilla</w:t>
      </w:r>
      <w:r w:rsidDel="00000000" w:rsidR="00000000" w:rsidRPr="00000000">
        <w:rPr>
          <w:rtl w:val="0"/>
        </w:rPr>
        <w:t xml:space="preserve"> production.</w:t>
      </w:r>
      <w:r w:rsidDel="00000000" w:rsidR="00000000" w:rsidRPr="00000000">
        <w:rPr>
          <w:rtl w:val="0"/>
        </w:rPr>
        <w:t xml:space="preserve"> </w:t>
      </w:r>
      <w:r w:rsidDel="00000000" w:rsidR="00000000" w:rsidRPr="00000000">
        <w:rPr>
          <w:rtl w:val="0"/>
        </w:rPr>
        <w:t xml:space="preserve">The research conducted by de Vos contributes to the development of sustainable aquaculture practices for this species, thereby supporting the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