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 civil engineer looking strictly at the asset creation cost, swapping the high-spec, light-permeable glasshouse structure for a standard, commercial-grade Colorbond/galvanized steel agricultural or industrial shed changes your financial profile considerably.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5,400 square meter footprint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Australian Bay Lobster Producers (ABLP) site in Chinderah, Northern NSW, we must engineer the structure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 Region B (Non-Cyclonic Coast)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with a highly reinforced slab capable of carrying massive, localized hydrostatic point-loads (your 170 raceways and 50,000L sumps).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realistic, 2026-rated civil costing breakdown for a traditional Colorbond industrial shed versus your baseline Glasshouse concept.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Cost Breakdown: Colorbond/Galvanized Shed Envelope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commercial "lock-up" warehouse shell or large rural steel shed typically tracks between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$350 to $550 per square meter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supply, delivery, and basic installation, but because we are housing a heavy marine aquaculture operation with intensive drainage requirements, the earthworks and slab cannot be compromised.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Cost Element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Scope &amp; 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Estimated Cost (AUD)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Site Prep &amp; Earthworks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Leveling 5,400 sqm, soil compaction, and deep trenching for main plumbing/drainage rough-ins.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$250,000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Engineered Concrete Slab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150mm commercial-grade, mesh-reinforced slab with epoxy sealant to protect against salt/acid corrosion, integrated sloped trench drains.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$750,000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Structure (Shed Kit)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Galvanized structural steel portal frame, Z purlins, and 0.42+ BMT Colorbond custom-orb roof and wall cladding.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$810,000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(~$150/sqm)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Civil Plumbing &amp; Labor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Mains intake, extensive under-slab drainage networks, and commercial pipefitter labor.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$185,000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Erection &amp; Installation Labor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Specialized steel erectors, heavy crane hire, rigging, and structural engineering sign-offs.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$270,000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Subtotal (Base Building Envelope)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Excludes fit-out, internal climate control, or emergency power.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$2,265,000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Contingency (15%)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Civil buffer for coastal water tables/subgrade issues.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$339,750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Colorbond Civil Estimate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Fully enclosed, weather-tight building envelope and slab.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$2,604,750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Financial &amp; Operational Comparison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move forward with a standard Colorbond portal frame over the original twin-wall polycarbonate/glass structure, you achieve significant upfront capital savings, but it fundamentally shifts your operational model.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Immediate CAPEX Savings: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original glasshouse building envelope and civil works totaled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$3,691,500 AUD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(inclusive of a 15% contingency). Switching to a Colorbond shell drops that specific envelope cost to roughly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$2,604,750 AUD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creates an immediate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upfront savings of ~$1,086,750 AUD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Insulation Factor: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uninsulated Colorbond turns into an oven during Chinderah's humid sub-tropical summers. To keep the water strictly at 27°C, you would need to add heavy-duty commercial anticon/foil insulation blankets or insulated sandwich panels (such as Bondor) to the ceiling and walls. This would add roughly $25–$50 per sqm ($135,000–$270,000) back into the steel budget.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Solar Gain Trade-Off (OPEX Impact):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glasshouse design was chosen as an active thermal trap to subsidize your 180kW heat pump array during the winter, keeping your thermal electricity costs capped at $58,500 annually. In a dark, solid Colorbond shed, you lose all natural solar heating. Your winter heating bills will scale up dramatically because the heat pumps will bear 100% of the load without passive assistance.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Forfeiting IMTA Future-Proofing: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standard steel shed blocks all natural light. If Mugenuni ever intends to vertically integrate and close the nutrient loop by growing macroalgae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indoors, you will have to install millions of dollars worth of high-draw, artificial LED grow-lights and pay the massive ongoing energy bills to power them.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Engineering Verdict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a pure project management and construction cash-flow perspective, building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Colorbond shed on an aquaculture-grade slab will cost you roughly $2.6M AUD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(compared to the $3.69M glasshouse envelope).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it trims over a million dollars from your initial capital raise pitch deck, make sure your financial model accounts for the long-term spike in thermal utility OPEX and the loss of natural lighting flexibility for future expansions.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