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the Mugenuni Knowledge Base expert, I have consolidated the financial data for the Chinderah facility. The total Capital Expenditure (CAPEX) for the project is strategically divided into the "Grow-Out Engine" (the biological life support) and the "Building Envelope" (the physical facility) to ensure a risk-mitigated, commercial-scale operation.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grand total CAPEX for the entire Chinderah facility is $5,063,910 AUD.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Total Facility CAPEX Roll-up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figure represents a heavily engineered target for capital raising, covering both the biological systems and the physical infrastructure.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6.3175327275158"/>
        <w:gridCol w:w="4552.15849944797"/>
        <w:gridCol w:w="1437.0357788481372"/>
        <w:tblGridChange w:id="0">
          <w:tblGrid>
            <w:gridCol w:w="3036.3175327275158"/>
            <w:gridCol w:w="4552.15849944797"/>
            <w:gridCol w:w="1437.0357788481372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(AUD)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 Envelope &amp; Civil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5,400 sqm structure, concrete, and emergency power.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$3,691,500 | | Core Grow-Out Infrastructure | The "Engine": Raceways, filtration, and thermal control.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$1,372,410 | | TOTAL FACILITY CAPEX | &lt;br&gt;Combined total for full operational readiness.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$5,063,910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Detailed Infrastructure Breakdown ("The Engine")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core infrastructure is scaled to support 170 commercial raceways and a steady-state harvest of 50,000 premium urchins per month.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Grow-Out Habitat ($609,960): Includes 170 Celuka raceways, 1,700 benthic trays, and 0.75kW VFD paddlewheels.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Mechanical &amp; Biofiltration ($344,425): A sophisticated system featuring drum filters, twin radial flow settlers, MBBR, protein skimmers, CO2 degassing, and an aragonite reactor.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Thermal Control ($152,605): 180kW titanium reverse-cycle heat pump array and bypass manifolds to maintain a strict 27°C environment.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Liquid O2 &amp; Aeration ($151,570): 5,000L LOX vessel, oxygen cones, and distribution manifold.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 Pump Array ($113,850): Twin 22kW marine centrifugal pumps with VFDs and main trunk lines.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Building Envelope &amp; Civil Works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sector ensures biosecurity and climate stability, utilizing a glasshouse-style design for high thermal retention.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Primary Structure ($1,350,000): 5,400 sqm galvanized steel frame with twin-wall polycarbonate/glass cladding.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Engineered Concrete Slab ($750,000): 150mm commercial slab reinforced for heavy aquatic point-loads and integrated drainage.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Installation &amp; Labor ($380,000): Heavy crane hire and specialized glazing/civil contractors.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Site Earthworks ($250,000): Leveling, compaction, and trenching for main plumbing.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Automated Environmental Control ($185,000): Motorized ridge vents and retractable shade-screens to prevent summer overheating.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Emergency Power ($110,000): 400kVA automatic transfer switch (ATS) diesel generator—a "non-negotiable" insurance policy for life support.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Contingency ($481,500): A 15% buffer applied to all civil works.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Specialized Strategic Upgrades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Beyond the core build, specific subsystems have been engineered to optimize ROI and vertical integration: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"Blue Shift" Lighting &amp; Thermal Upgrade ($424,500): Investment in IP68 Linear Blue LED bars and expanded thermal capacity. This compresses the grow-out cycle from 7 months to 5.3 months, yielding an additional $1.36M in annual revenue.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Uni Processing Plant ($309,350): A 150-200 sqm DAFF/Export standard facility built within the glasshouse for on-site cracking, grading, and packing.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Feed Prep Infrastructure ($33,350): Semi-automated soaking vats and gantry systems to handle 2,100 kg of wet feed every 48 hours.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Expert Financial Note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All CAPEX figures include a 15% contingency buffer. The investment is heavily front-loaded into risk mitigation (ATS Generator) and OPEX reduction (Glasshouse solar gain and VFD-controlled pumps) to ensure long-term profitability.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Would you like me to dive deeper into the specific ROI timelines for these individual CAPEX investments?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