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7sf9igdidd0" w:id="0"/>
      <w:bookmarkEnd w:id="0"/>
      <w:r w:rsidDel="00000000" w:rsidR="00000000" w:rsidRPr="00000000">
        <w:rPr>
          <w:b w:val="1"/>
          <w:bCs w:val="1"/>
          <w:sz w:val="34"/>
          <w:szCs w:val="34"/>
          <w:rtl w:val="0"/>
        </w:rPr>
        <w:t xml:space="preserve">Optimal Stocking Density for </w:t>
      </w:r>
      <w:r w:rsidDel="00000000" w:rsidR="00000000" w:rsidRPr="00000000">
        <w:rPr>
          <w:b w:val="1"/>
          <w:bCs w:val="1"/>
          <w:i w:val="1"/>
          <w:iCs w:val="1"/>
          <w:sz w:val="34"/>
          <w:szCs w:val="34"/>
          <w:rtl w:val="0"/>
        </w:rPr>
        <w:t xml:space="preserve">T. gratilla</w:t>
      </w:r>
      <w:r w:rsidDel="00000000" w:rsidR="00000000" w:rsidRPr="00000000">
        <w:rPr>
          <w:b w:val="1"/>
          <w:bCs w:val="1"/>
          <w:sz w:val="34"/>
          <w:szCs w:val="34"/>
          <w:rtl w:val="0"/>
        </w:rPr>
        <w:t xml:space="preserve"> Gonad Production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sources suggest that a stocking density of </w:t>
      </w:r>
      <w:r w:rsidDel="00000000" w:rsidR="00000000" w:rsidRPr="00000000">
        <w:rPr>
          <w:b w:val="1"/>
          <w:bCs w:val="1"/>
          <w:rtl w:val="0"/>
        </w:rPr>
        <w:t xml:space="preserve">approximately 20% coverage</w:t>
      </w:r>
      <w:r w:rsidDel="00000000" w:rsidR="00000000" w:rsidRPr="00000000">
        <w:rPr>
          <w:rtl w:val="0"/>
        </w:rPr>
        <w:t xml:space="preserve"> maximises </w:t>
      </w:r>
      <w:r w:rsidDel="00000000" w:rsidR="00000000" w:rsidRPr="00000000">
        <w:rPr>
          <w:i w:val="1"/>
          <w:iCs w:val="1"/>
          <w:rtl w:val="0"/>
        </w:rPr>
        <w:t xml:space="preserve">T. gratilla</w:t>
      </w:r>
      <w:r w:rsidDel="00000000" w:rsidR="00000000" w:rsidRPr="00000000">
        <w:rPr>
          <w:rtl w:val="0"/>
        </w:rPr>
        <w:t xml:space="preserve"> gonad production. This conclusion comes from experiments that compared growth and gonad development of </w:t>
      </w:r>
      <w:r w:rsidDel="00000000" w:rsidR="00000000" w:rsidRPr="00000000">
        <w:rPr>
          <w:i w:val="1"/>
          <w:iCs w:val="1"/>
          <w:rtl w:val="0"/>
        </w:rPr>
        <w:t xml:space="preserve">T. gratilla</w:t>
      </w:r>
      <w:r w:rsidDel="00000000" w:rsidR="00000000" w:rsidRPr="00000000">
        <w:rPr>
          <w:rtl w:val="0"/>
        </w:rPr>
        <w:t xml:space="preserve"> at various stocking densities during both the grow-out phase (fed fresh </w:t>
      </w:r>
      <w:r w:rsidDel="00000000" w:rsidR="00000000" w:rsidRPr="00000000">
        <w:rPr>
          <w:i w:val="1"/>
          <w:iCs w:val="1"/>
          <w:rtl w:val="0"/>
        </w:rPr>
        <w:t xml:space="preserve">Ulva lacinulata</w:t>
      </w:r>
      <w:r w:rsidDel="00000000" w:rsidR="00000000" w:rsidRPr="00000000">
        <w:rPr>
          <w:rtl w:val="0"/>
        </w:rPr>
        <w:t xml:space="preserve">) and the gonad enhancement phase (fed formulated feed with 20% dried </w:t>
      </w:r>
      <w:r w:rsidDel="00000000" w:rsidR="00000000" w:rsidRPr="00000000">
        <w:rPr>
          <w:i w:val="1"/>
          <w:iCs w:val="1"/>
          <w:rtl w:val="0"/>
        </w:rPr>
        <w:t xml:space="preserve">Ulva</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Here's a breakdown of the key findings: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Grow-out Phase (Ulva-fed):</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No mortality or cannibalism</w:t>
      </w:r>
      <w:r w:rsidDel="00000000" w:rsidR="00000000" w:rsidRPr="00000000">
        <w:rPr>
          <w:rtl w:val="0"/>
        </w:rPr>
        <w:t xml:space="preserve"> was observed in any of the stocking density treatments over the three-month experimental period.</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Stocking densities of 22.77% or greater significantly reduced individual urchin weight gain, while densities above 29.87% significantly reduced diameter growth rate.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Stocking density did not affect the net increase in mass of a basket (total urchin mass in each basket increased by roughly 0.5kg). However, the total mass of urchins at the end of the experiment was significantly higher in the greater stocking density treatments.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No clear evidence suggested that stocking density influenced gonad quality or quantity.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Gonad Enhancement Phase (Pellet-fed):</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Minimal mortality (0.98% over two months) was recorded, with one death occurring in a medium-density basket and another in a high-density basket.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Individually housed urchins (control group) exhibited significantly higher weight gain than those in all stocking density treatments</w:t>
      </w:r>
      <w:r w:rsidDel="00000000" w:rsidR="00000000" w:rsidRPr="00000000">
        <w:rPr>
          <w:rtl w:val="0"/>
        </w:rPr>
        <w:t xml:space="preserve">, implying that negative behavioural interactions at higher densities might limit growth.</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While statistically significant, the difference in weight gain between stocking densities was very small.</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No evidence showed that individual gonad metrics (gonad somatic index, colour, or gonad stage) were affected by stocking density.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Based on these results, the sources propose a stocking density of approximately 20% coverage as optimal for both the grow-out and gonad enhancement phases of </w:t>
      </w:r>
      <w:r w:rsidDel="00000000" w:rsidR="00000000" w:rsidRPr="00000000">
        <w:rPr>
          <w:b w:val="1"/>
          <w:bCs w:val="1"/>
          <w:i w:val="1"/>
          <w:iCs w:val="1"/>
          <w:rtl w:val="0"/>
        </w:rPr>
        <w:t xml:space="preserve">T. gratilla</w:t>
      </w:r>
      <w:r w:rsidDel="00000000" w:rsidR="00000000" w:rsidRPr="00000000">
        <w:rPr>
          <w:b w:val="1"/>
          <w:bCs w:val="1"/>
          <w:rtl w:val="0"/>
        </w:rPr>
        <w:t xml:space="preserve"> production.</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This density allows for high total urchin biomass and gonad production without significantly impacting individual gonad development.</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Higher densities, while potentially yielding greater total biomass, can lead to negative interactions that limit individual growth and potentially increase the risk of mortality.</w:t>
      </w:r>
    </w:p>
    <w:p w:rsidR="00000000" w:rsidDel="00000000" w:rsidP="00000000" w:rsidRDefault="00000000" w:rsidRPr="00000000" w14:paraId="00000011">
      <w:pPr>
        <w:spacing w:after="240" w:before="240" w:lineRule="auto"/>
        <w:rPr>
          <w:b w:val="1"/>
          <w:bCs w:val="1"/>
        </w:rPr>
      </w:pPr>
      <w:r w:rsidDel="00000000" w:rsidR="00000000" w:rsidRPr="00000000">
        <w:rPr>
          <w:rtl w:val="0"/>
        </w:rPr>
        <w:t xml:space="preserve">The sources acknowledge that the optimal stocking density for a specific farm will depend on various factors, such as resource availability (juveniles, feed), space constraints, and economic considerations. However, </w:t>
      </w:r>
      <w:r w:rsidDel="00000000" w:rsidR="00000000" w:rsidRPr="00000000">
        <w:rPr>
          <w:b w:val="1"/>
          <w:bCs w:val="1"/>
          <w:rtl w:val="0"/>
        </w:rPr>
        <w:t xml:space="preserve">they recommend 20% coverage as a conservative starting point for </w:t>
      </w:r>
      <w:r w:rsidDel="00000000" w:rsidR="00000000" w:rsidRPr="00000000">
        <w:rPr>
          <w:b w:val="1"/>
          <w:bCs w:val="1"/>
          <w:i w:val="1"/>
          <w:iCs w:val="1"/>
          <w:rtl w:val="0"/>
        </w:rPr>
        <w:t xml:space="preserve">T. gratilla</w:t>
      </w:r>
      <w:r w:rsidDel="00000000" w:rsidR="00000000" w:rsidRPr="00000000">
        <w:rPr>
          <w:b w:val="1"/>
          <w:bCs w:val="1"/>
          <w:rtl w:val="0"/>
        </w:rPr>
        <w:t xml:space="preserve"> culture, particularly for maximizing gonad production.</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