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Estimate: Commercial Uni Processing &amp; Packing Facility (DAFF/Export Standard)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Facility Requirements &amp; Spatial Layout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Footprint:</w:t>
      </w:r>
      <w:r w:rsidDel="00000000" w:rsidR="00000000" w:rsidRPr="00000000">
        <w:rPr>
          <w:rFonts w:ascii="Google Sans" w:cs="Google Sans" w:eastAsia="Google Sans" w:hAnsi="Google Sans"/>
          <w:color w:val="1f1f1f"/>
          <w:rtl w:val="0"/>
        </w:rPr>
        <w:t xml:space="preserve"> Approximately 150 to 200 sqm, built directly onto the concrete slab inside the main glasshouse envelope.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"Clean/Dirty" Divide:</w:t>
      </w:r>
      <w:r w:rsidDel="00000000" w:rsidR="00000000" w:rsidRPr="00000000">
        <w:rPr>
          <w:rFonts w:ascii="Google Sans" w:cs="Google Sans" w:eastAsia="Google Sans" w:hAnsi="Google Sans"/>
          <w:color w:val="1f1f1f"/>
          <w:rtl w:val="0"/>
        </w:rPr>
        <w:t xml:space="preserve"> DAFF Export standards require a strict one-way flow of product to prevent cross-contamination.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Zone 1 (Dirty):</w:t>
      </w:r>
      <w:r w:rsidDel="00000000" w:rsidR="00000000" w:rsidRPr="00000000">
        <w:rPr>
          <w:rFonts w:ascii="Google Sans" w:cs="Google Sans" w:eastAsia="Google Sans" w:hAnsi="Google Sans"/>
          <w:color w:val="1f1f1f"/>
          <w:rtl w:val="0"/>
        </w:rPr>
        <w:t xml:space="preserve"> Wash-down and cracking. Urchins enter, are split, and the shells/guts are separated from the roe.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Zone 2 (Clean):</w:t>
      </w:r>
      <w:r w:rsidDel="00000000" w:rsidR="00000000" w:rsidRPr="00000000">
        <w:rPr>
          <w:rFonts w:ascii="Google Sans" w:cs="Google Sans" w:eastAsia="Google Sans" w:hAnsi="Google Sans"/>
          <w:color w:val="1f1f1f"/>
          <w:rtl w:val="0"/>
        </w:rPr>
        <w:t xml:space="preserve"> Extraction and Brine/Mugenuni process wash. The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is scooped, cleaned with tweezers, and soaked in a chilled saline/alum solution to firm the texture (a mandatory Japanese processing standard).</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Zone 3 (Ultra-Clean):</w:t>
      </w:r>
      <w:r w:rsidDel="00000000" w:rsidR="00000000" w:rsidRPr="00000000">
        <w:rPr>
          <w:rFonts w:ascii="Google Sans" w:cs="Google Sans" w:eastAsia="Google Sans" w:hAnsi="Google Sans"/>
          <w:color w:val="1f1f1f"/>
          <w:rtl w:val="0"/>
        </w:rPr>
        <w:t xml:space="preserve"> Grading, weighing, tray-packing, and sealing.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Climate Control:</w:t>
      </w:r>
      <w:r w:rsidDel="00000000" w:rsidR="00000000" w:rsidRPr="00000000">
        <w:rPr>
          <w:rFonts w:ascii="Google Sans" w:cs="Google Sans" w:eastAsia="Google Sans" w:hAnsi="Google Sans"/>
          <w:color w:val="1f1f1f"/>
          <w:rtl w:val="0"/>
        </w:rPr>
        <w:t xml:space="preserve"> The clean and ultra-clean rooms must be heavily air-conditioned (maintained at 10°C - 12°C) to prevent the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from degrading or melting during handling.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CAPEX Breakdown (AUD - 2026 Commercial Rates)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Insulated Panel Room Buildout:</w:t>
      </w:r>
      <w:r w:rsidDel="00000000" w:rsidR="00000000" w:rsidRPr="00000000">
        <w:rPr>
          <w:rFonts w:ascii="Google Sans" w:cs="Google Sans" w:eastAsia="Google Sans" w:hAnsi="Google Sans"/>
          <w:color w:val="1f1f1f"/>
          <w:rtl w:val="0"/>
        </w:rPr>
        <w:t xml:space="preserve"> (150 sqm of food-grade PIR coolroom paneling for walls and dropped ceilings, including coved corners, high-speed hygienic roller doors, and epoxy floor slope integration with stainless strip drains): $125,000</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Processing HVAC System:</w:t>
      </w:r>
      <w:r w:rsidDel="00000000" w:rsidR="00000000" w:rsidRPr="00000000">
        <w:rPr>
          <w:rFonts w:ascii="Google Sans" w:cs="Google Sans" w:eastAsia="Google Sans" w:hAnsi="Google Sans"/>
          <w:color w:val="1f1f1f"/>
          <w:rtl w:val="0"/>
        </w:rPr>
        <w:t xml:space="preserve"> (Heavy-duty commercial air conditioning with HEPA filtration to hold the extraction/packing rooms strictly at 10°C–12°C): $45,000</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Cold Storage Infrastructure:</w:t>
      </w:r>
      <w:r w:rsidDel="00000000" w:rsidR="00000000" w:rsidRPr="00000000">
        <w:rPr>
          <w:rFonts w:ascii="Google Sans" w:cs="Google Sans" w:eastAsia="Google Sans" w:hAnsi="Google Sans"/>
          <w:color w:val="1f1f1f"/>
          <w:rtl w:val="0"/>
        </w:rPr>
        <w:t xml:space="preserve"> (One 4°C Holding Coolroom for finished product, and one commercial Blast Chiller to rapidly drop the temperature of packed trays before transport): $38,500</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Stainless Steel Fitout &amp; Extraction Gear:</w:t>
      </w:r>
      <w:r w:rsidDel="00000000" w:rsidR="00000000" w:rsidRPr="00000000">
        <w:rPr>
          <w:rFonts w:ascii="Google Sans" w:cs="Google Sans" w:eastAsia="Google Sans" w:hAnsi="Google Sans"/>
          <w:color w:val="1f1f1f"/>
          <w:rtl w:val="0"/>
        </w:rPr>
        <w:t xml:space="preserve"> (Custom 316SS cracking tables with waste chutes, grading benches, wash sinks, commercial chilled saline/alum bath systems, and specialized extraction spoons/tweezers): $42,000</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Packaging Equipment:</w:t>
      </w:r>
      <w:r w:rsidDel="00000000" w:rsidR="00000000" w:rsidRPr="00000000">
        <w:rPr>
          <w:rFonts w:ascii="Google Sans" w:cs="Google Sans" w:eastAsia="Google Sans" w:hAnsi="Google Sans"/>
          <w:color w:val="1f1f1f"/>
          <w:rtl w:val="0"/>
        </w:rPr>
        <w:t xml:space="preserve"> (Commercial Modified Atmosphere Packaging (MAP) tray sealers, precision trade-approved scales, and label printers): $18,500</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Contingency (15%):</w:t>
      </w:r>
      <w:r w:rsidDel="00000000" w:rsidR="00000000" w:rsidRPr="00000000">
        <w:rPr>
          <w:rFonts w:ascii="Google Sans" w:cs="Google Sans" w:eastAsia="Google Sans" w:hAnsi="Google Sans"/>
          <w:color w:val="1f1f1f"/>
          <w:rtl w:val="0"/>
        </w:rPr>
        <w:t xml:space="preserve"> $40,350</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Subsystem CAPEX: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$309,350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OPEX Breakdown - Annual (AUD)</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Labor (The heaviest OPEX driver):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extraction cannot be fully automated. Processing 2,500 urchins a day requires a highly skilled team. (Estimated 5 Full-Time Equivalent technicians/packers @ $65k + super/on-costs): $360,000</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Electricity (Thermal Load):</w:t>
      </w:r>
      <w:r w:rsidDel="00000000" w:rsidR="00000000" w:rsidRPr="00000000">
        <w:rPr>
          <w:rFonts w:ascii="Google Sans" w:cs="Google Sans" w:eastAsia="Google Sans" w:hAnsi="Google Sans"/>
          <w:color w:val="1f1f1f"/>
          <w:rtl w:val="0"/>
        </w:rPr>
        <w:t xml:space="preserve"> (Running the 10°C processing room HVAC, blast chillers, and coolrooms 24/7): $28,500</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Packaging Consumables:</w:t>
      </w:r>
      <w:r w:rsidDel="00000000" w:rsidR="00000000" w:rsidRPr="00000000">
        <w:rPr>
          <w:rFonts w:ascii="Google Sans" w:cs="Google Sans" w:eastAsia="Google Sans" w:hAnsi="Google Sans"/>
          <w:color w:val="1f1f1f"/>
          <w:rtl w:val="0"/>
        </w:rPr>
        <w:t xml:space="preserve"> (Premium wooden or high-grade plastic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trays, moisture-absorbent pads, MAP sealing film, and food-grade gas mix): $45,000</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Processing Consumables:</w:t>
      </w:r>
      <w:r w:rsidDel="00000000" w:rsidR="00000000" w:rsidRPr="00000000">
        <w:rPr>
          <w:rFonts w:ascii="Google Sans" w:cs="Google Sans" w:eastAsia="Google Sans" w:hAnsi="Google Sans"/>
          <w:color w:val="1f1f1f"/>
          <w:rtl w:val="0"/>
        </w:rPr>
        <w:t xml:space="preserve"> (Food-grade alum/Myoban, high-purity salt for the chilled wash baths, sanitizers, and PPE for staff): $12,500</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DAFF/Export Certification &amp; Auditing:</w:t>
      </w:r>
      <w:r w:rsidDel="00000000" w:rsidR="00000000" w:rsidRPr="00000000">
        <w:rPr>
          <w:rFonts w:ascii="Google Sans" w:cs="Google Sans" w:eastAsia="Google Sans" w:hAnsi="Google Sans"/>
          <w:color w:val="1f1f1f"/>
          <w:rtl w:val="0"/>
        </w:rPr>
        <w:t xml:space="preserve"> (Annual registration fees, third-party food safety audits, and water quality testing): $8,500</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Annual OPEX: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$454,500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Strategic Investor Notes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"Myoban" (Alum) Advantage:</w:t>
      </w:r>
      <w:r w:rsidDel="00000000" w:rsidR="00000000" w:rsidRPr="00000000">
        <w:rPr>
          <w:rFonts w:ascii="Google Sans" w:cs="Google Sans" w:eastAsia="Google Sans" w:hAnsi="Google Sans"/>
          <w:color w:val="1f1f1f"/>
          <w:rtl w:val="0"/>
        </w:rPr>
        <w:t xml:space="preserve"> The inclusion of a chilled/Mugenuni process bath in the processing line is a critical differentiator. This firming technique prevents the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gonads from weeping or losing their distinct granular texture during transport. It is the gold standard for accessing the lucrative Japanese and high-end domestic sushi markets, directly elevating the final farmgate price per kilogram.</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Waste Stream Monetization:</w:t>
      </w:r>
      <w:r w:rsidDel="00000000" w:rsidR="00000000" w:rsidRPr="00000000">
        <w:rPr>
          <w:rFonts w:ascii="Google Sans" w:cs="Google Sans" w:eastAsia="Google Sans" w:hAnsi="Google Sans"/>
          <w:color w:val="1f1f1f"/>
          <w:rtl w:val="0"/>
        </w:rPr>
        <w:t xml:space="preserve"> By designing the cracking tables with dedicated waste chutes, the daily output of thousands of crushed urchin tests (shells) and spines is efficiently diverted out of the clean room. This feeds directly into the previously established strategy of drying and selling the calcium-rich shells as an agricultural soil amendment, turning a waste disposal cost into a secondary revenue stream.</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Biosecurity as a Moat:</w:t>
      </w:r>
      <w:r w:rsidDel="00000000" w:rsidR="00000000" w:rsidRPr="00000000">
        <w:rPr>
          <w:rFonts w:ascii="Google Sans" w:cs="Google Sans" w:eastAsia="Google Sans" w:hAnsi="Google Sans"/>
          <w:color w:val="1f1f1f"/>
          <w:rtl w:val="0"/>
        </w:rPr>
        <w:t xml:space="preserve"> Building this processing facility to strict DAFF export standards creates a massive barrier to entry for competitors. It ensures Mugenuni can pivot seamlessly between domestic premium distribution and international export without retrofitting the plant.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