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uj3gslnbhus" w:id="0"/>
      <w:bookmarkEnd w:id="0"/>
      <w:r w:rsidDel="00000000" w:rsidR="00000000" w:rsidRPr="00000000">
        <w:rPr>
          <w:rtl w:val="0"/>
        </w:rPr>
        <w:t xml:space="preserve">Uni-Intel: Live Sea Urchin Market Intelligence Platform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71w3tkdt27j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Uni-Intel is an agentic, real-time dashboard built to track the complex and volatile live whole sea urchin market, with a specific focus on the Tripneustes gratilla species. The platform represents the technological scale-up of 3.5 years of commercial trial data and peer-reviewed research by Symon Dworjanyn and Ben Mos (Mugenuni Research).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 utilizes an ensemble of three specialized AI agents to autonomously monitor auction prices, track global logistics, and calculate real-time mortality risks. Ultimately, the system protects profit margins by automatically advising whether a shipment should proceed with live export or be diverted to local roe processing.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m3a6butahlry" w:id="2"/>
      <w:bookmarkEnd w:id="2"/>
      <w:r w:rsidDel="00000000" w:rsidR="00000000" w:rsidRPr="00000000">
        <w:rPr>
          <w:rtl w:val="0"/>
        </w:rPr>
        <w:t xml:space="preserve">The Core Agent Architecture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ghbyennluhl2" w:id="3"/>
      <w:bookmarkEnd w:id="3"/>
      <w:r w:rsidDel="00000000" w:rsidR="00000000" w:rsidRPr="00000000">
        <w:rPr>
          <w:rtl w:val="0"/>
        </w:rPr>
        <w:t xml:space="preserve">1. The Hunter (Scout Agent)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Role: Market data acquisition, extraction, and price normalization.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Primary Targets: Toyosu Market daily auction summaries (Japan), Tridge Market Intelligence, and ABARES Fisheries reports (Australia).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Core Capabilities: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Bypasses strict anti-scraping measures using the Bright Data Web Unlocker proxy.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Solves the "PDF Barrier" by employing advanced Vision-OCR (via LLMs) to extract and parse complex, image-based Japanese auction tables.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Automatically translates localized Japanese grading terminology (e.g., translating Tokujyo to Premium Grade).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Normalizes disparate market data into distinct commercial metrics for comparison: AUD/kg for 'Live Whole' urchins and AUD/100g for processed 'A-Grade Trays'.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tzj98wjpi6fa" w:id="4"/>
      <w:bookmarkEnd w:id="4"/>
      <w:r w:rsidDel="00000000" w:rsidR="00000000" w:rsidRPr="00000000">
        <w:rPr>
          <w:rtl w:val="0"/>
        </w:rPr>
        <w:t xml:space="preserve">2. The Guardian (Logistics Agent)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Role: Real-time transit monitoring and environmental stress tracking.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Primary Targets: Air freight schedules (e.g., JAL, Qantas) and real-time tarmac temperatures at major Asian transshipment hubs (Singapore, Hong Kong, Tokyo).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Core Capabilities: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Monitors the physical journey of the urchins against the empirically proven 24-hour safe survival window.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Tracks live weather data at transit hubs to ensure the urchins remain as close to the optimal 12°C Goldilocks baseline as possible, instantly flagging any severe thermal deviations.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s72128bcid0l" w:id="5"/>
      <w:bookmarkEnd w:id="5"/>
      <w:r w:rsidDel="00000000" w:rsidR="00000000" w:rsidRPr="00000000">
        <w:rPr>
          <w:rtl w:val="0"/>
        </w:rPr>
        <w:t xml:space="preserve">3. The Analyst (Intelligence Agent)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Role: Risk calculation, Landed Quality Index (LQI) modeling, and autonomous decision-making.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Primary Targets: Ingests the normalized pricing data from the Scout Agent and the environmental stress data from the Logistics Agent.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Core Capabilities: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Computes the precise Mortality Risk Score (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R) using the specific quadratic equation calibrated by Mugenuni trial data: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R=α(T−12)2+β(t)+γ(ΔW)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R=α(T−12)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+β(t)+γ(ΔW)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Integrates exact trial constants extracted from Mugenuni literature, specifically utilizing the fluid-loss constant (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γ=0.49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γ=0.49) where every 1% increase in mass loss multiplies the likelihood of mortality by 1.63 times.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Automated Mitigation: If the calculated 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R-score for a specific batch exceeds the maximum safe threshold of 75.0, the agent triggers a CRITICAL RED ALERT. It overrides standard procedures and automatically recommends diverting the shipment to local roe processing, saving the product from dying in transit.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22quvyv9ekfr" w:id="6"/>
      <w:bookmarkEnd w:id="6"/>
      <w:r w:rsidDel="00000000" w:rsidR="00000000" w:rsidRPr="00000000">
        <w:rPr>
          <w:rtl w:val="0"/>
        </w:rPr>
        <w:t xml:space="preserve">Technical Stack &amp; Infrastructure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Backend Framework: Python (Multi-Agent Architecture)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Front-End Dashboard: Streamlit (Dynamic, data-driven web UI)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Scraping Infrastructure: Bright Data MCP (handles proxy rotation, CAPTCHAs, and session fingerprinting)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Computer Vision: Vision-LLM APIs for OCR dat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