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Ulva sp. cultivated in land-based systems sinks to the bottom unless the system is aerated.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Aerating a tank at the base produces a ‘tumble culture’ affect (Vandermeulen, 1989, as cited in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Pellegrini and Lahaye, 1987). Vandermeulen (1989) found that the most uniform air curtains in 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tank were produced by 0.1 cm holes drilled every 2.5 cm along the air supply pipes in a 0.71 m3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tank for Ulva sp. production. This tank was capable of culturing 56 g of dry weight Ulva sp. per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day. A problem with cultivating Ulva sp. in land-based systems is that it can be expensive to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operate air blowers/compressors over a 24 hour period. DeBusk et al (1986) found that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independent of season, survival of Ulva sp. under non-aerated conditions is poor. The seaweed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floated to the water’s surface due to photosynthetic oxygen bubble formation, which resulted in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conditions of high temperature, desiccation and high light intensity, causing death and decay of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the seaweed. Additionally, DeBusk et al (1986) found when aeration was decreased from 24 hr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to 4 hr (intermittent), algal yields where 72 % of that achieved with continuous aeration. This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suggests that a trade-off between power and production can be made by the operator of a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system, dependant on water quality (i.e. nutrient levels) and target seaweed biomass.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