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mn7orfhon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Integrated Multi-Trophic Aquaculture (IMTA) System at Buffeljags Abalone Farm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Buffeljags Abalone Farm is one of the first large commercial abalone farms in South Africa to consistently recirculate 50% of their seawater through an IMTA system that utilises the bioremediation capacity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 lacinulata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This integrated system, which produces approximately 450 tonnes of abalone (</w:t>
      </w:r>
      <w:r w:rsidDel="00000000" w:rsidR="00000000" w:rsidRPr="00000000">
        <w:rPr>
          <w:i w:val="1"/>
          <w:iCs w:val="1"/>
          <w:rtl w:val="0"/>
        </w:rPr>
        <w:t xml:space="preserve">Haliotis midae</w:t>
      </w:r>
      <w:r w:rsidDel="00000000" w:rsidR="00000000" w:rsidRPr="00000000">
        <w:rPr>
          <w:rtl w:val="0"/>
        </w:rPr>
        <w:t xml:space="preserve">) and 600 tonnes of </w:t>
      </w:r>
      <w:r w:rsidDel="00000000" w:rsidR="00000000" w:rsidRPr="00000000">
        <w:rPr>
          <w:i w:val="1"/>
          <w:iCs w:val="1"/>
          <w:rtl w:val="0"/>
        </w:rPr>
        <w:t xml:space="preserve">Ulva lacinulata</w:t>
      </w:r>
      <w:r w:rsidDel="00000000" w:rsidR="00000000" w:rsidRPr="00000000">
        <w:rPr>
          <w:rtl w:val="0"/>
        </w:rPr>
        <w:t xml:space="preserve"> annually, is designed in a modular configuration to augment biosecurity.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farm consists of seven modular abalone-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IMTA systems, referred to as platforms, which are further divided into four clusters.</w:t>
      </w:r>
      <w:r w:rsidDel="00000000" w:rsidR="00000000" w:rsidRPr="00000000">
        <w:rPr>
          <w:rtl w:val="0"/>
        </w:rPr>
        <w:t xml:space="preserve"> Each cluster comprises one D-ended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paddle-raceway and 42 abalone raceway tanks. The abalone are cultivated in baskets that are suspended in fiberglass raceway tanks. Effluent water from the abalone tanks flows into the adjacent paddle-raceway where it is bioremediated by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. Fifty percent of this bioremediated water is then mixed with 50% fresh seawater in a sump before being recirculated back into the abalone raceways. The sump also houses a protein skimmer that removes waste and dissolved organic nutrients from the bioremediated seawater.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clusters are designed to be independent units, minimising the risk of disease transmission.</w:t>
      </w:r>
      <w:r w:rsidDel="00000000" w:rsidR="00000000" w:rsidRPr="00000000">
        <w:rPr>
          <w:rtl w:val="0"/>
        </w:rPr>
        <w:t xml:space="preserve"> Water, equipment, and other potential disease vectors are not shared between clusters, and various biosecurity measures are implemented.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is cultivated in shallow, D-ended paddle-raceways lined with white PVC to promote sunlight reflection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growth.</w:t>
      </w:r>
      <w:r w:rsidDel="00000000" w:rsidR="00000000" w:rsidRPr="00000000">
        <w:rPr>
          <w:rtl w:val="0"/>
        </w:rPr>
        <w:t xml:space="preserve"> The paddle-raceways have a volume of approximately 150 m3. A centrally positioned paddlewheel circulates the seawater and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, keeping the seaweed suspended in the water column for optimal sunlight exposure.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addition to abalone, Buffeljags Abalone Farm has implemented a pilot commercial sea urchin-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IMTA system for the production of the high-value species,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Tripneustes gratilla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This system consists of five fiberglass raceway tanks, interconnected with a D-ended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paddle-raceway and a sump. The system utilises a drum-filter, protein skimmers, and a heat-pump to maintain optimal water quality and a consistent temperature of around 25 °C. The entire system is housed within a tunnel for heat conservation, essential for cultivating a tropical species in a temperate environment.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Effluent water from the sea urchin tanks is filtered and then flows into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</w:t>
      </w:r>
      <w:r w:rsidDel="00000000" w:rsidR="00000000" w:rsidRPr="00000000">
        <w:rPr>
          <w:b w:val="1"/>
          <w:bCs w:val="1"/>
          <w:rtl w:val="0"/>
        </w:rPr>
        <w:t xml:space="preserve"> paddle-raceway for bioremediation.</w:t>
      </w:r>
      <w:r w:rsidDel="00000000" w:rsidR="00000000" w:rsidRPr="00000000">
        <w:rPr>
          <w:rtl w:val="0"/>
        </w:rPr>
        <w:t xml:space="preserve"> Bioremediated seawater from the paddle-raceway is collected in the sump, where it is recirculated back to the sea urchin tanks after passing through a heat pump. The system has a daily water replacement rate of 10%, achieved by the addition of fresh seawater from the adjacent ocean. The sea urchins are housed in oyster mesh baskets suspended in the raceway tanks.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 urchins are fed a combination diet of freshly harvested farmed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 lacinulata</w:t>
      </w:r>
      <w:r w:rsidDel="00000000" w:rsidR="00000000" w:rsidRPr="00000000">
        <w:rPr>
          <w:b w:val="1"/>
          <w:bCs w:val="1"/>
          <w:rtl w:val="0"/>
        </w:rPr>
        <w:t xml:space="preserve"> and a formulated feed containing 20% dried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Ulva lacinulata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The continuous circulation of seawater through the tanks and </w:t>
      </w:r>
      <w:r w:rsidDel="00000000" w:rsidR="00000000" w:rsidRPr="00000000">
        <w:rPr>
          <w:i w:val="1"/>
          <w:iCs w:val="1"/>
          <w:rtl w:val="0"/>
        </w:rPr>
        <w:t xml:space="preserve">Ulva</w:t>
      </w:r>
      <w:r w:rsidDel="00000000" w:rsidR="00000000" w:rsidRPr="00000000">
        <w:rPr>
          <w:rtl w:val="0"/>
        </w:rPr>
        <w:t xml:space="preserve"> paddle-raceways ensures a constant supply of heated and aerated water, promoting optimal growth conditions for the sea urchins.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