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097280" cy="1488874"/>
            <wp:docPr id="1" name="Picture 1"/>
            <wp:cNvGraphicFramePr>
              <a:graphicFrameLocks noChangeAspect="1"/>
            </wp:cNvGraphicFramePr>
            <a:graphic>
              <a:graphicData uri="http://schemas.openxmlformats.org/drawingml/2006/picture">
                <pic:pic>
                  <pic:nvPicPr>
                    <pic:cNvPr id="0" name="Image21.jpg"/>
                    <pic:cNvPicPr/>
                  </pic:nvPicPr>
                  <pic:blipFill>
                    <a:blip r:embed="rId9"/>
                    <a:stretch>
                      <a:fillRect/>
                    </a:stretch>
                  </pic:blipFill>
                  <pic:spPr>
                    <a:xfrm>
                      <a:off x="0" y="0"/>
                      <a:ext cx="1097280" cy="1488874"/>
                    </a:xfrm>
                    <a:prstGeom prst="rect"/>
                  </pic:spPr>
                </pic:pic>
              </a:graphicData>
            </a:graphic>
          </wp:inline>
        </w:drawing>
      </w:r>
    </w:p>
    <w:p>
      <w:pPr>
        <w:spacing w:before="320" w:after="480"/>
        <w:jc w:val="center"/>
      </w:pPr>
      <w:r>
        <w:rPr>
          <w:rFonts w:ascii="Times New Roman" w:hAnsi="Times New Roman"/>
          <w:b/>
          <w:sz w:val="32"/>
        </w:rPr>
        <w:t>REAL-TIME TRAFFIC CONGESTION PREDICTIVE MODELING USING LIVE IOT SENSOR STREAM ANALYTICS</w:t>
      </w:r>
    </w:p>
    <w:p>
      <w:pPr>
        <w:spacing w:after="480"/>
        <w:jc w:val="center"/>
      </w:pPr>
      <w:r>
        <w:rPr>
          <w:rFonts w:ascii="Times New Roman" w:hAnsi="Times New Roman"/>
          <w:sz w:val="22"/>
        </w:rPr>
        <w:t>PROJECT REPORT SUBMITTED IN PARTIAL FULFILLMENT OF</w:t>
        <w:br/>
        <w:t>THE REQUIREMENTS FOR THE AWARD OF THE</w:t>
        <w:br/>
        <w:t>DEGREE OF BACHELOR OF ENGINEERING IN</w:t>
        <w:br/>
        <w:t>COMPUTER SCIENCE AND ENGINEERING</w:t>
        <w:br/>
        <w:t>OF ANNA UNIVERSITY</w:t>
      </w:r>
    </w:p>
    <w:p>
      <w:pPr>
        <w:spacing w:before="560" w:after="80"/>
        <w:jc w:val="center"/>
      </w:pPr>
      <w:r>
        <w:rPr>
          <w:rFonts w:ascii="Times New Roman" w:hAnsi="Times New Roman"/>
          <w:i/>
          <w:sz w:val="23"/>
        </w:rPr>
        <w:t>Submitted by</w:t>
        <w:br/>
      </w:r>
      <w:r>
        <w:rPr>
          <w:rFonts w:ascii="Times New Roman" w:hAnsi="Times New Roman"/>
          <w:b/>
          <w:sz w:val="26"/>
        </w:rPr>
        <w:t>SAI KRISHNAN S - 722824104206</w:t>
      </w:r>
    </w:p>
    <w:p>
      <w:pPr>
        <w:spacing w:before="400" w:after="720"/>
        <w:jc w:val="center"/>
      </w:pPr>
      <w:r>
        <w:rPr>
          <w:rFonts w:ascii="Times New Roman" w:hAnsi="Times New Roman"/>
          <w:i/>
          <w:sz w:val="22"/>
        </w:rPr>
        <w:t>Under the Guidance of</w:t>
        <w:br/>
      </w:r>
      <w:r>
        <w:rPr>
          <w:rFonts w:ascii="Times New Roman" w:hAnsi="Times New Roman"/>
          <w:b/>
          <w:sz w:val="24"/>
        </w:rPr>
        <w:t>Dr. K. SURESH KUMAR, M.Tech., Ph.D.,</w:t>
        <w:br/>
        <w:t>ASSOCIATE PROFESSOR, CSE</w:t>
      </w:r>
    </w:p>
    <w:p>
      <w:pPr>
        <w:spacing w:before="480" w:after="0"/>
        <w:jc w:val="center"/>
      </w:pPr>
      <w:r>
        <w:rPr>
          <w:rFonts w:ascii="Times New Roman" w:hAnsi="Times New Roman"/>
          <w:b/>
          <w:sz w:val="24"/>
        </w:rPr>
        <w:t>Department of Computer Science &amp; Engineering</w:t>
        <w:br/>
        <w:t>Sri Eshwar College of Engineering</w:t>
        <w:br/>
        <w:t>(An Autonomous Institution – Affiliated to Anna University)</w:t>
        <w:br/>
        <w:t>COIMBATORE – 641 202</w:t>
        <w:br/>
        <w:t>OCTOBER 2026</w:t>
      </w:r>
    </w:p>
    <w:p>
      <w:r>
        <w:br w:type="page"/>
      </w:r>
    </w:p>
    <w:p>
      <w:pPr>
        <w:spacing w:before="480" w:after="480"/>
        <w:jc w:val="center"/>
      </w:pPr>
      <w:r>
        <w:rPr>
          <w:rFonts w:ascii="Times New Roman" w:hAnsi="Times New Roman"/>
          <w:b/>
          <w:sz w:val="30"/>
        </w:rPr>
        <w:t>BONAFIDE CERTIFICATE</w:t>
      </w:r>
    </w:p>
    <w:p>
      <w:pPr>
        <w:spacing w:after="240" w:line="276" w:lineRule="auto"/>
        <w:jc w:val="both"/>
      </w:pPr>
      <w:r>
        <w:rPr>
          <w:rFonts w:ascii="Times New Roman" w:hAnsi="Times New Roman"/>
          <w:b w:val="0"/>
          <w:i w:val="0"/>
          <w:color w:val="000000"/>
          <w:sz w:val="24"/>
        </w:rPr>
        <w:t>Certified that this Report titled “REAL-TIME TRAFFIC CONGESTION PREDICTIVE MODELING USING LIVE IOT SENSOR STREAM ANALYTICS” is the bonafide work of</w:t>
      </w:r>
    </w:p>
    <w:p>
      <w:pPr>
        <w:spacing w:before="120" w:after="360"/>
        <w:jc w:val="center"/>
      </w:pPr>
      <w:r>
        <w:rPr>
          <w:rFonts w:ascii="Times New Roman" w:hAnsi="Times New Roman"/>
          <w:b/>
          <w:sz w:val="26"/>
        </w:rPr>
        <w:t>SAI KRISHNAN S - 722824104206</w:t>
      </w:r>
    </w:p>
    <w:p>
      <w:pPr>
        <w:spacing w:after="720" w:line="276" w:lineRule="auto"/>
        <w:jc w:val="center"/>
      </w:pPr>
      <w:r>
        <w:rPr>
          <w:rFonts w:ascii="Times New Roman" w:hAnsi="Times New Roman"/>
          <w:b w:val="0"/>
          <w:i w:val="0"/>
          <w:color w:val="000000"/>
          <w:sz w:val="24"/>
        </w:rPr>
        <w:t>who carried out the project work under my supervision.</w:t>
      </w:r>
    </w:p>
    <w:tbl>
      <w:tblPr>
        <w:tblW w:type="auto" w:w="0"/>
        <w:jc w:val="center"/>
        <w:tblLook w:firstColumn="1" w:firstRow="1" w:lastColumn="0" w:lastRow="0" w:noHBand="0" w:noVBand="1" w:val="04A0"/>
      </w:tblPr>
      <w:tblGrid>
        <w:gridCol w:w="4334"/>
        <w:gridCol w:w="4334"/>
      </w:tblGrid>
      <w:tr>
        <w:tc>
          <w:tcPr>
            <w:tcW w:type="dxa" w:w="4608"/>
            <w:tcBorders>
              <w:top w:val="none"/>
              <w:left w:val="none"/>
              <w:bottom w:val="none"/>
              <w:right w:val="none"/>
            </w:tcBorders>
          </w:tcPr>
          <w:p>
            <w:pPr>
              <w:jc w:val="left"/>
            </w:pPr>
            <w:r>
              <w:rPr>
                <w:rFonts w:ascii="Times New Roman" w:hAnsi="Times New Roman"/>
                <w:sz w:val="21"/>
              </w:rPr>
              <w:t>SIGNATURE</w:t>
              <w:br/>
              <w:br/>
              <w:br/>
              <w:br/>
              <w:t>Dr. R. SUBHA M.E., Ph.D.,</w:t>
              <w:br/>
              <w:t>PROFESSOR</w:t>
              <w:br/>
              <w:t>HEAD OF THE DEPARTMENT</w:t>
              <w:br/>
              <w:t>Department of Computer Science and Engineering,</w:t>
              <w:br/>
              <w:t>Sri Eshwar College of Engineering,</w:t>
              <w:br/>
              <w:t>Coimbatore – 641 202.</w:t>
            </w:r>
          </w:p>
        </w:tc>
        <w:tc>
          <w:tcPr>
            <w:tcW w:type="dxa" w:w="4608"/>
            <w:tcBorders>
              <w:top w:val="none"/>
              <w:left w:val="none"/>
              <w:bottom w:val="none"/>
              <w:right w:val="none"/>
            </w:tcBorders>
          </w:tcPr>
          <w:p>
            <w:pPr>
              <w:jc w:val="left"/>
            </w:pPr>
            <w:r>
              <w:rPr>
                <w:rFonts w:ascii="Times New Roman" w:hAnsi="Times New Roman"/>
                <w:sz w:val="21"/>
              </w:rPr>
              <w:t>SIGNATURE</w:t>
              <w:br/>
              <w:br/>
              <w:br/>
              <w:br/>
              <w:t>Dr. K. SURESH KUMAR, M.Tech., Ph.D.,</w:t>
              <w:br/>
              <w:t>SUPERVISOR</w:t>
              <w:br/>
              <w:t>ASSOCIATE PROFESSOR,</w:t>
              <w:br/>
              <w:t>Department of Computer Science and Engineering,</w:t>
              <w:br/>
              <w:t>Sri Eshwar College of Engineering,</w:t>
              <w:br/>
              <w:t>Coimbatore – 641 202.</w:t>
            </w:r>
          </w:p>
        </w:tc>
      </w:tr>
    </w:tbl>
    <w:p>
      <w:pPr>
        <w:spacing w:before="960" w:after="560"/>
      </w:pPr>
      <w:r>
        <w:rPr>
          <w:rFonts w:ascii="Times New Roman" w:hAnsi="Times New Roman"/>
          <w:sz w:val="22"/>
        </w:rPr>
        <w:t>Submitted for the Autonomous Semester End Project Viva-Voce held on</w:t>
        <w:br/>
        <w:br/>
        <w:t>………………………</w:t>
      </w:r>
    </w:p>
    <w:p>
      <w:pPr>
        <w:spacing w:before="360"/>
      </w:pPr>
      <w:r>
        <w:rPr>
          <w:rFonts w:ascii="Times New Roman" w:hAnsi="Times New Roman"/>
          <w:b/>
          <w:sz w:val="22"/>
        </w:rPr>
        <w:t>INTERNAL EXAMINER                                              EXTERNAL EXAMINER</w:t>
      </w:r>
    </w:p>
    <w:p>
      <w:r>
        <w:br w:type="page"/>
      </w:r>
    </w:p>
    <w:p>
      <w:pPr>
        <w:spacing w:before="480" w:after="320"/>
        <w:jc w:val="center"/>
      </w:pPr>
      <w:r>
        <w:rPr>
          <w:rFonts w:ascii="Times New Roman" w:hAnsi="Times New Roman"/>
          <w:b/>
          <w:sz w:val="30"/>
        </w:rPr>
        <w:t>DECLARATION</w:t>
      </w:r>
    </w:p>
    <w:p>
      <w:pPr>
        <w:spacing w:after="480"/>
        <w:jc w:val="center"/>
      </w:pPr>
      <w:r>
        <w:rPr>
          <w:rFonts w:ascii="Times New Roman" w:hAnsi="Times New Roman"/>
          <w:b/>
          <w:sz w:val="24"/>
        </w:rPr>
        <w:t>SAI KRISHNAN S [722824104206]</w:t>
      </w:r>
    </w:p>
    <w:p>
      <w:pPr>
        <w:spacing w:after="720" w:line="276" w:lineRule="auto"/>
        <w:jc w:val="both"/>
      </w:pPr>
      <w:r>
        <w:rPr>
          <w:rFonts w:ascii="Times New Roman" w:hAnsi="Times New Roman"/>
          <w:b w:val="0"/>
          <w:i w:val="0"/>
          <w:color w:val="000000"/>
          <w:sz w:val="24"/>
        </w:rPr>
        <w:t>To declare that the project entitled “REAL-TIME TRAFFIC CONGESTION PREDICTIVE MODELING USING LIVE IOT SENSOR STREAM ANALYTICS” submitted in partial fulfilment to the University as the project work of Bachelor of Engineering (Computer Science and Engineering) Degree, is a record of original work done under the supervision and guidance of Dr. K. Suresh Kumar, M.Tech., Ph.D., Associate Professor, Department of Computer Science and Engineering, Sri Eshwar College of Engineering, Coimbatore.</w:t>
      </w:r>
    </w:p>
    <w:p>
      <w:pPr>
        <w:spacing w:after="80"/>
      </w:pPr>
      <w:r>
        <w:rPr>
          <w:rFonts w:ascii="Times New Roman" w:hAnsi="Times New Roman"/>
          <w:sz w:val="23"/>
        </w:rPr>
        <w:t>Place: Coimbatore</w:t>
        <w:br/>
        <w:t>Date: 21-10-2026</w:t>
      </w:r>
    </w:p>
    <w:p>
      <w:pPr>
        <w:spacing w:before="480" w:after="960"/>
        <w:jc w:val="right"/>
      </w:pPr>
      <w:r>
        <w:rPr>
          <w:rFonts w:ascii="Times New Roman" w:hAnsi="Times New Roman"/>
          <w:b/>
          <w:sz w:val="24"/>
        </w:rPr>
        <w:t>SAI KRISHNAN S</w:t>
      </w:r>
    </w:p>
    <w:p>
      <w:pPr>
        <w:spacing w:after="80"/>
      </w:pPr>
      <w:r>
        <w:rPr>
          <w:rFonts w:ascii="Times New Roman" w:hAnsi="Times New Roman"/>
          <w:b/>
          <w:sz w:val="23"/>
        </w:rPr>
        <w:t>Project Guided by,</w:t>
        <w:br/>
        <w:br/>
        <w:t>Dr. K. Suresh Kumar, M.Tech., Ph.D., AP/CSE</w:t>
      </w:r>
    </w:p>
    <w:p>
      <w:r>
        <w:br w:type="page"/>
      </w:r>
    </w:p>
    <w:p>
      <w:pPr>
        <w:spacing w:before="400" w:after="320"/>
        <w:jc w:val="center"/>
      </w:pPr>
      <w:r>
        <w:rPr>
          <w:rFonts w:ascii="Times New Roman" w:hAnsi="Times New Roman"/>
          <w:b/>
          <w:sz w:val="30"/>
        </w:rPr>
        <w:t>ACKNOWLEDGEMENT</w:t>
      </w:r>
    </w:p>
    <w:p>
      <w:pPr>
        <w:spacing w:after="240" w:line="276" w:lineRule="auto"/>
        <w:jc w:val="both"/>
      </w:pPr>
      <w:r>
        <w:rPr>
          <w:rFonts w:ascii="Times New Roman" w:hAnsi="Times New Roman"/>
          <w:b w:val="0"/>
          <w:i w:val="0"/>
          <w:color w:val="000000"/>
          <w:sz w:val="24"/>
        </w:rPr>
        <w:t>The success of a work depends on a team and cooperation. I take this opportunity to express my gratitude and thanks to everyone who helped me in my project. I would like to thank the management for the constant support provided by them to complete this project.</w:t>
      </w:r>
    </w:p>
    <w:p>
      <w:pPr>
        <w:spacing w:after="240" w:line="276" w:lineRule="auto"/>
        <w:jc w:val="both"/>
      </w:pPr>
      <w:r>
        <w:rPr>
          <w:rFonts w:ascii="Times New Roman" w:hAnsi="Times New Roman"/>
          <w:b w:val="0"/>
          <w:i w:val="0"/>
          <w:color w:val="000000"/>
          <w:sz w:val="24"/>
        </w:rPr>
        <w:t>It is indeed our great honor bounded duty to thank our beloved Chairman Mr. R. Mohanram, for his academic interest shown towards the students. We are indebted to our Director Mr. R. Rajaram, for motivating and providing us with all facilities.</w:t>
      </w:r>
    </w:p>
    <w:p>
      <w:pPr>
        <w:spacing w:after="240" w:line="276" w:lineRule="auto"/>
        <w:jc w:val="both"/>
      </w:pPr>
      <w:r>
        <w:rPr>
          <w:rFonts w:ascii="Times New Roman" w:hAnsi="Times New Roman"/>
          <w:b w:val="0"/>
          <w:i w:val="0"/>
          <w:color w:val="000000"/>
          <w:sz w:val="24"/>
        </w:rPr>
        <w:t>I wish to express my sincere regards and deep sense of gratitude to Dr. Sudha Mohanram, M.E, Ph.D., Principal, for the excellent facilities and encouragement provided during the course of the study and project.</w:t>
      </w:r>
    </w:p>
    <w:p>
      <w:pPr>
        <w:spacing w:after="240" w:line="276" w:lineRule="auto"/>
        <w:jc w:val="both"/>
      </w:pPr>
      <w:r>
        <w:rPr>
          <w:rFonts w:ascii="Times New Roman" w:hAnsi="Times New Roman"/>
          <w:b w:val="0"/>
          <w:i w:val="0"/>
          <w:color w:val="000000"/>
          <w:sz w:val="24"/>
        </w:rPr>
        <w:t>We are indebted to Dr. R. Subha, M.E., Ph.D., Head of Computer Science and Engineering Department for having permitted us to carry out this project and giving the complete freedom to utilize the resources of the department.</w:t>
      </w:r>
    </w:p>
    <w:p>
      <w:pPr>
        <w:spacing w:after="240" w:line="276" w:lineRule="auto"/>
        <w:jc w:val="both"/>
      </w:pPr>
      <w:r>
        <w:rPr>
          <w:rFonts w:ascii="Times New Roman" w:hAnsi="Times New Roman"/>
          <w:b w:val="0"/>
          <w:i w:val="0"/>
          <w:color w:val="000000"/>
          <w:sz w:val="24"/>
        </w:rPr>
        <w:t>I express my sincere thanks to My Data Science Subject Faculty Dr. K. Suresh Kumar, M.Tech., Ph.D., Associate Professor of Computer Science and Engineering Department for the valuable guidance and encouragement given to us for this project.</w:t>
      </w:r>
    </w:p>
    <w:p>
      <w:pPr>
        <w:spacing w:after="480" w:line="276" w:lineRule="auto"/>
        <w:jc w:val="both"/>
      </w:pPr>
      <w:r>
        <w:rPr>
          <w:rFonts w:ascii="Times New Roman" w:hAnsi="Times New Roman"/>
          <w:b w:val="0"/>
          <w:i w:val="0"/>
          <w:color w:val="000000"/>
          <w:sz w:val="24"/>
        </w:rPr>
        <w:t>I solemnly express our thanks to all the teaching and non-teaching staff of the Computer Science and Engineering Department, family and friends for their valuable support which inspired us to work on this project.</w:t>
      </w:r>
    </w:p>
    <w:p>
      <w:pPr>
        <w:jc w:val="center"/>
      </w:pPr>
      <w:r>
        <w:rPr>
          <w:rFonts w:ascii="Times New Roman" w:hAnsi="Times New Roman"/>
          <w:sz w:val="22"/>
        </w:rPr>
        <w:t>i</w:t>
      </w:r>
    </w:p>
    <w:p>
      <w:r>
        <w:br w:type="page"/>
      </w:r>
    </w:p>
    <w:p>
      <w:pPr>
        <w:spacing w:after="200"/>
        <w:jc w:val="center"/>
      </w:pPr>
      <w:r>
        <w:drawing>
          <wp:inline xmlns:a="http://schemas.openxmlformats.org/drawingml/2006/main" xmlns:pic="http://schemas.openxmlformats.org/drawingml/2006/picture">
            <wp:extent cx="5303520" cy="1200150"/>
            <wp:docPr id="2" name="Picture 2"/>
            <wp:cNvGraphicFramePr>
              <a:graphicFrameLocks noChangeAspect="1"/>
            </wp:cNvGraphicFramePr>
            <a:graphic>
              <a:graphicData uri="http://schemas.openxmlformats.org/drawingml/2006/picture">
                <pic:pic>
                  <pic:nvPicPr>
                    <pic:cNvPr id="0" name="college_header.png"/>
                    <pic:cNvPicPr/>
                  </pic:nvPicPr>
                  <pic:blipFill>
                    <a:blip r:embed="rId10"/>
                    <a:stretch>
                      <a:fillRect/>
                    </a:stretch>
                  </pic:blipFill>
                  <pic:spPr>
                    <a:xfrm>
                      <a:off x="0" y="0"/>
                      <a:ext cx="5303520" cy="1200150"/>
                    </a:xfrm>
                    <a:prstGeom prst="rect"/>
                  </pic:spPr>
                </pic:pic>
              </a:graphicData>
            </a:graphic>
          </wp:inline>
        </w:drawing>
      </w:r>
    </w:p>
    <w:p>
      <w:pPr>
        <w:keepNext/>
        <w:spacing w:before="80" w:after="80"/>
        <w:jc w:val="left"/>
      </w:pPr>
      <w:r>
        <w:rPr>
          <w:rFonts w:ascii="Times New Roman" w:hAnsi="Times New Roman"/>
          <w:b/>
          <w:color w:val="000000"/>
          <w:sz w:val="24"/>
        </w:rPr>
        <w:t>QUALITY POLICY</w:t>
      </w:r>
    </w:p>
    <w:p>
      <w:pPr>
        <w:spacing w:after="160" w:line="276" w:lineRule="auto"/>
        <w:jc w:val="both"/>
      </w:pPr>
      <w:r>
        <w:rPr>
          <w:rFonts w:ascii="Times New Roman" w:hAnsi="Times New Roman"/>
          <w:b w:val="0"/>
          <w:i w:val="0"/>
          <w:color w:val="000000"/>
          <w:sz w:val="24"/>
        </w:rPr>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pPr>
        <w:keepNext/>
        <w:spacing w:before="80" w:after="80"/>
        <w:jc w:val="left"/>
      </w:pPr>
      <w:r>
        <w:rPr>
          <w:rFonts w:ascii="Times New Roman" w:hAnsi="Times New Roman"/>
          <w:b/>
          <w:color w:val="000000"/>
          <w:sz w:val="24"/>
        </w:rPr>
        <w:t>INSTITUTE VISION</w:t>
      </w:r>
    </w:p>
    <w:p>
      <w:pPr>
        <w:spacing w:after="160" w:line="276" w:lineRule="auto"/>
        <w:jc w:val="both"/>
      </w:pPr>
      <w:r>
        <w:rPr>
          <w:rFonts w:ascii="Times New Roman" w:hAnsi="Times New Roman"/>
          <w:b w:val="0"/>
          <w:i w:val="0"/>
          <w:color w:val="000000"/>
          <w:sz w:val="24"/>
        </w:rPr>
        <w:t>To be recognized as a premier institution, grooming students into globally acknowledged engineering professionals.</w:t>
      </w:r>
    </w:p>
    <w:p>
      <w:pPr>
        <w:keepNext/>
        <w:spacing w:before="80" w:after="80"/>
        <w:jc w:val="left"/>
      </w:pPr>
      <w:r>
        <w:rPr>
          <w:rFonts w:ascii="Times New Roman" w:hAnsi="Times New Roman"/>
          <w:b/>
          <w:color w:val="000000"/>
          <w:sz w:val="24"/>
        </w:rPr>
        <w:t>INSTITUTE MISSION</w:t>
      </w:r>
    </w:p>
    <w:p>
      <w:pPr>
        <w:spacing w:after="160" w:line="276" w:lineRule="auto"/>
        <w:jc w:val="both"/>
      </w:pPr>
      <w:r>
        <w:rPr>
          <w:rFonts w:ascii="Times New Roman" w:hAnsi="Times New Roman"/>
          <w:b w:val="0"/>
          <w:i w:val="0"/>
          <w:color w:val="000000"/>
          <w:sz w:val="24"/>
        </w:rPr>
        <w:t>• Providing outcome and value-based engineering education</w:t>
        <w:br/>
        <w:t>• Nurturing research and entrepreneurial culture</w:t>
        <w:br/>
        <w:t>• Enabling students to be industry ready and fulfill their career aspirations</w:t>
        <w:br/>
        <w:t>• Grooming students through behavioral and leadership training programs</w:t>
        <w:br/>
        <w:t>• Making students socially responsible</w:t>
      </w:r>
    </w:p>
    <w:p>
      <w:pPr>
        <w:keepNext/>
        <w:spacing w:before="120" w:after="80"/>
        <w:jc w:val="left"/>
      </w:pPr>
      <w:r>
        <w:rPr>
          <w:rFonts w:ascii="Times New Roman" w:hAnsi="Times New Roman"/>
          <w:b/>
          <w:color w:val="000000"/>
          <w:sz w:val="24"/>
        </w:rPr>
        <w:t>DEPARTMENT OF COMPUTER SCIENCE AND ENGINEERING</w:t>
      </w:r>
    </w:p>
    <w:p>
      <w:pPr>
        <w:keepNext/>
        <w:spacing w:before="40" w:after="80"/>
        <w:jc w:val="left"/>
      </w:pPr>
      <w:r>
        <w:rPr>
          <w:rFonts w:ascii="Times New Roman" w:hAnsi="Times New Roman"/>
          <w:b/>
          <w:color w:val="000000"/>
          <w:sz w:val="24"/>
        </w:rPr>
        <w:t>DEPARTMENT VISION</w:t>
      </w:r>
    </w:p>
    <w:p>
      <w:pPr>
        <w:spacing w:after="160" w:line="276" w:lineRule="auto"/>
        <w:jc w:val="both"/>
      </w:pPr>
      <w:r>
        <w:rPr>
          <w:rFonts w:ascii="Times New Roman" w:hAnsi="Times New Roman"/>
          <w:b w:val="0"/>
          <w:i w:val="0"/>
          <w:color w:val="000000"/>
          <w:sz w:val="24"/>
        </w:rPr>
        <w:t>To groom students into globally competent software professionals and meet the ever changing requirements of the industry.</w:t>
      </w:r>
    </w:p>
    <w:p>
      <w:pPr>
        <w:keepNext/>
        <w:spacing w:before="40" w:after="80"/>
        <w:jc w:val="left"/>
      </w:pPr>
      <w:r>
        <w:rPr>
          <w:rFonts w:ascii="Times New Roman" w:hAnsi="Times New Roman"/>
          <w:b/>
          <w:color w:val="000000"/>
          <w:sz w:val="24"/>
        </w:rPr>
        <w:t>DEPARTMENT MISSION</w:t>
      </w:r>
    </w:p>
    <w:p>
      <w:pPr>
        <w:spacing w:after="160" w:line="276" w:lineRule="auto"/>
        <w:jc w:val="both"/>
      </w:pPr>
      <w:r>
        <w:rPr>
          <w:rFonts w:ascii="Times New Roman" w:hAnsi="Times New Roman"/>
          <w:b w:val="0"/>
          <w:i w:val="0"/>
          <w:color w:val="000000"/>
          <w:sz w:val="24"/>
        </w:rPr>
        <w:t>• Creating a quality academic environment with relevant IT infrastructure and empowering faculty and students with emerging technologies.</w:t>
        <w:br/>
        <w:t>• Motivating staff and students to actively involve in lifelong learning and fostering research.</w:t>
        <w:br/>
        <w:t>• Inculcating leadership and entrepreneurship skills in students.</w:t>
        <w:br/>
        <w:t>• Generating opportunities for students to evolve as competent software professionals with societal consciousness.</w:t>
      </w:r>
    </w:p>
    <w:p>
      <w:pPr>
        <w:keepNext/>
        <w:spacing w:before="80" w:after="80"/>
        <w:jc w:val="left"/>
      </w:pPr>
      <w:r>
        <w:rPr>
          <w:rFonts w:ascii="Times New Roman" w:hAnsi="Times New Roman"/>
          <w:b/>
          <w:color w:val="000000"/>
          <w:sz w:val="24"/>
        </w:rPr>
        <w:t>PROGRAM EDUCATIONAL OBJECTIVES (PEOs)</w:t>
      </w:r>
    </w:p>
    <w:p>
      <w:pPr>
        <w:spacing w:after="240" w:line="276" w:lineRule="auto"/>
        <w:jc w:val="both"/>
      </w:pPr>
      <w:r>
        <w:rPr>
          <w:rFonts w:ascii="Times New Roman" w:hAnsi="Times New Roman"/>
          <w:b w:val="0"/>
          <w:i w:val="0"/>
          <w:color w:val="000000"/>
          <w:sz w:val="24"/>
        </w:rPr>
        <w:t>• PEO1: Graduates will build successful careers in computing and information technology domains by applying strong foundations in engineering principles, computer science fundamentals, and professional best practices.</w:t>
        <w:br/>
        <w:t>• PEO2: Graduates will pursue higher education, research, and entrepreneurial endeavours by demonstrating self-directed and life-long learning capabilities to continuously adapt to emerging technologies, industry trends, and societal needs.</w:t>
        <w:br/>
        <w:t>• PEO3: Graduates will conceive, design and implement innovative, and ethically responsible computing solutions to address real-world challenges in industry and society.</w:t>
      </w:r>
    </w:p>
    <w:p>
      <w:r>
        <w:br w:type="page"/>
      </w:r>
    </w:p>
    <w:p>
      <w:pPr>
        <w:keepNext/>
        <w:spacing w:before="160" w:after="120"/>
        <w:jc w:val="left"/>
      </w:pPr>
      <w:r>
        <w:rPr>
          <w:rFonts w:ascii="Times New Roman" w:hAnsi="Times New Roman"/>
          <w:b/>
          <w:color w:val="000000"/>
          <w:sz w:val="24"/>
        </w:rPr>
        <w:t>PROGRAM OUTCOMES (POs)</w:t>
      </w:r>
    </w:p>
    <w:p>
      <w:pPr>
        <w:spacing w:after="80" w:line="276" w:lineRule="auto"/>
        <w:jc w:val="both"/>
      </w:pPr>
      <w:r>
        <w:rPr>
          <w:rFonts w:ascii="Times New Roman" w:hAnsi="Times New Roman"/>
          <w:b w:val="0"/>
          <w:i w:val="0"/>
          <w:color w:val="000000"/>
          <w:sz w:val="24"/>
        </w:rPr>
        <w:t>PO1: Engineering Knowledge: Apply knowledge of mathematics, natural science, computing, engineering fundamentals and an engineering specialization as specified in WK1 to WK4 respectively to develop to the solution of complex engineering problems.</w:t>
      </w:r>
    </w:p>
    <w:p>
      <w:pPr>
        <w:spacing w:after="80" w:line="276" w:lineRule="auto"/>
        <w:jc w:val="both"/>
      </w:pPr>
      <w:r>
        <w:rPr>
          <w:rFonts w:ascii="Times New Roman" w:hAnsi="Times New Roman"/>
          <w:b w:val="0"/>
          <w:i w:val="0"/>
          <w:color w:val="000000"/>
          <w:sz w:val="24"/>
        </w:rPr>
        <w:t>PO2: Problem Analysis: Identify, formulate, review research literature and analyze complex engineering problems reaching substantiated conclusions with consideration for sustainable development. (WK1 to WK4)</w:t>
      </w:r>
    </w:p>
    <w:p>
      <w:pPr>
        <w:spacing w:after="80" w:line="276" w:lineRule="auto"/>
        <w:jc w:val="both"/>
      </w:pPr>
      <w:r>
        <w:rPr>
          <w:rFonts w:ascii="Times New Roman" w:hAnsi="Times New Roman"/>
          <w:b w:val="0"/>
          <w:i w:val="0"/>
          <w:color w:val="000000"/>
          <w:sz w:val="24"/>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p>
      <w:pPr>
        <w:spacing w:after="80" w:line="276" w:lineRule="auto"/>
        <w:jc w:val="both"/>
      </w:pPr>
      <w:r>
        <w:rPr>
          <w:rFonts w:ascii="Times New Roman" w:hAnsi="Times New Roman"/>
          <w:b w:val="0"/>
          <w:i w:val="0"/>
          <w:color w:val="000000"/>
          <w:sz w:val="24"/>
        </w:rPr>
        <w:t>PO4: Conduct Investigations of Complex Problems: Conduct investigations of complex engineering problems using research-based knowledge including design of experiments, modelling, analysis &amp; interpretation of data to provide valid conclusions. (WK8)</w:t>
      </w:r>
    </w:p>
    <w:p>
      <w:pPr>
        <w:spacing w:after="80" w:line="276" w:lineRule="auto"/>
        <w:jc w:val="both"/>
      </w:pPr>
      <w:r>
        <w:rPr>
          <w:rFonts w:ascii="Times New Roman" w:hAnsi="Times New Roman"/>
          <w:b w:val="0"/>
          <w:i w:val="0"/>
          <w:color w:val="000000"/>
          <w:sz w:val="24"/>
        </w:rPr>
        <w:t>PO5: Engineering Tool Usage: Create, select and apply appropriate techniques, resources and modern engineering &amp; IT tools, including prediction and modelling recognizing their limitations to solve complex engineering problems. (WK2 and WK6)</w:t>
      </w:r>
    </w:p>
    <w:p>
      <w:pPr>
        <w:spacing w:after="80" w:line="276" w:lineRule="auto"/>
        <w:jc w:val="both"/>
      </w:pPr>
      <w:r>
        <w:rPr>
          <w:rFonts w:ascii="Times New Roman" w:hAnsi="Times New Roman"/>
          <w:b w:val="0"/>
          <w:i w:val="0"/>
          <w:color w:val="000000"/>
          <w:sz w:val="24"/>
        </w:rPr>
        <w:t>PO6: The Engineer and The World: Analyze and evaluate societal and environmental aspects while solving complex engineering problems for its impact on sustainability with reference to economy, health, safety, legal framework, culture and environment. (WK1, WK5, and WK7)</w:t>
      </w:r>
    </w:p>
    <w:p>
      <w:pPr>
        <w:spacing w:after="80" w:line="276" w:lineRule="auto"/>
        <w:jc w:val="both"/>
      </w:pPr>
      <w:r>
        <w:rPr>
          <w:rFonts w:ascii="Times New Roman" w:hAnsi="Times New Roman"/>
          <w:b w:val="0"/>
          <w:i w:val="0"/>
          <w:color w:val="000000"/>
          <w:sz w:val="24"/>
        </w:rPr>
        <w:t>PO7: Ethics: Apply ethical principles and commit to professional ethics, human values, diversity and inclusion; adhere to national &amp; international laws. (WK9)</w:t>
      </w:r>
    </w:p>
    <w:p>
      <w:pPr>
        <w:spacing w:after="80" w:line="276" w:lineRule="auto"/>
        <w:jc w:val="both"/>
      </w:pPr>
      <w:r>
        <w:rPr>
          <w:rFonts w:ascii="Times New Roman" w:hAnsi="Times New Roman"/>
          <w:b w:val="0"/>
          <w:i w:val="0"/>
          <w:color w:val="000000"/>
          <w:sz w:val="24"/>
        </w:rPr>
        <w:t>PO8: Individual and Collaborative Team work: Function effectively as an individual, and as a member or leader in diverse/multi-disciplinary teams.</w:t>
      </w:r>
    </w:p>
    <w:p>
      <w:pPr>
        <w:spacing w:after="80" w:line="276" w:lineRule="auto"/>
        <w:jc w:val="both"/>
      </w:pPr>
      <w:r>
        <w:rPr>
          <w:rFonts w:ascii="Times New Roman" w:hAnsi="Times New Roman"/>
          <w:b w:val="0"/>
          <w:i w:val="0"/>
          <w:color w:val="000000"/>
          <w:sz w:val="24"/>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pPr>
        <w:spacing w:after="80" w:line="276" w:lineRule="auto"/>
        <w:jc w:val="both"/>
      </w:pPr>
      <w:r>
        <w:rPr>
          <w:rFonts w:ascii="Times New Roman" w:hAnsi="Times New Roman"/>
          <w:b w:val="0"/>
          <w:i w:val="0"/>
          <w:color w:val="000000"/>
          <w:sz w:val="24"/>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pPr>
        <w:spacing w:after="80" w:line="276" w:lineRule="auto"/>
        <w:jc w:val="both"/>
      </w:pPr>
      <w:r>
        <w:rPr>
          <w:rFonts w:ascii="Times New Roman" w:hAnsi="Times New Roman"/>
          <w:b w:val="0"/>
          <w:i w:val="0"/>
          <w:color w:val="000000"/>
          <w:sz w:val="24"/>
        </w:rPr>
        <w:t>PO11: Life-Long Learning: Recognize the need for, and have the preparation and ability for i) independent and life-long learning ii) adaptability to new and emerging technologies and iii) critical thinking in the broadest context of technological change. (WK8)</w:t>
      </w:r>
    </w:p>
    <w:p>
      <w:pPr>
        <w:keepNext/>
        <w:spacing w:before="160" w:after="120"/>
        <w:jc w:val="left"/>
      </w:pPr>
      <w:r>
        <w:rPr>
          <w:rFonts w:ascii="Times New Roman" w:hAnsi="Times New Roman"/>
          <w:b/>
          <w:color w:val="000000"/>
          <w:sz w:val="24"/>
        </w:rPr>
        <w:t>PROGRAM SPECIFIC OUTCOMES (PSOs)</w:t>
      </w:r>
    </w:p>
    <w:p>
      <w:pPr>
        <w:spacing w:after="80" w:line="276" w:lineRule="auto"/>
        <w:jc w:val="both"/>
      </w:pPr>
      <w:r>
        <w:rPr>
          <w:rFonts w:ascii="Times New Roman" w:hAnsi="Times New Roman"/>
          <w:b w:val="0"/>
          <w:i w:val="0"/>
          <w:color w:val="000000"/>
          <w:sz w:val="24"/>
        </w:rPr>
        <w:t>• PSO1: Demonstrate knowledge in open-source technologies, real-time data streaming architectures, and distributed systems.</w:t>
      </w:r>
    </w:p>
    <w:p>
      <w:pPr>
        <w:spacing w:after="80" w:line="276" w:lineRule="auto"/>
        <w:jc w:val="both"/>
      </w:pPr>
      <w:r>
        <w:rPr>
          <w:rFonts w:ascii="Times New Roman" w:hAnsi="Times New Roman"/>
          <w:b w:val="0"/>
          <w:i w:val="0"/>
          <w:color w:val="000000"/>
          <w:sz w:val="24"/>
        </w:rPr>
        <w:t>• PSO2: Develop innovative solutions by adapting emerging artificial intelligence, machine learning, and IoT stream analytics technologies for industry-oriented applications.</w:t>
      </w:r>
    </w:p>
    <w:p>
      <w:pPr>
        <w:spacing w:after="80" w:line="276" w:lineRule="auto"/>
        <w:jc w:val="both"/>
      </w:pPr>
      <w:r>
        <w:rPr>
          <w:rFonts w:ascii="Times New Roman" w:hAnsi="Times New Roman"/>
          <w:b w:val="0"/>
          <w:i w:val="0"/>
          <w:color w:val="000000"/>
          <w:sz w:val="24"/>
        </w:rPr>
        <w:t>• PSO3: Implement SDLC principles, automated testing frameworks, and robust software engineering practices for project/product development.</w:t>
      </w:r>
    </w:p>
    <w:p>
      <w:r>
        <w:br w:type="page"/>
      </w:r>
    </w:p>
    <w:p>
      <w:pPr>
        <w:spacing w:before="240" w:after="320"/>
        <w:jc w:val="center"/>
      </w:pPr>
      <w:r>
        <w:rPr>
          <w:rFonts w:ascii="Times New Roman" w:hAnsi="Times New Roman"/>
          <w:b/>
          <w:sz w:val="30"/>
        </w:rPr>
        <w:t>TABLE OF CONTENTS</w:t>
      </w:r>
    </w:p>
    <w:tbl>
      <w:tblPr>
        <w:tblW w:type="auto" w:w="0"/>
        <w:jc w:val="center"/>
        <w:tblLook w:firstColumn="1" w:firstRow="1" w:lastColumn="0" w:lastRow="0" w:noHBand="0" w:noVBand="1" w:val="04A0"/>
      </w:tblPr>
      <w:tblGrid>
        <w:gridCol w:w="2890"/>
        <w:gridCol w:w="2890"/>
        <w:gridCol w:w="2890"/>
      </w:tblGrid>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CHAPTER NO.</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TITLE</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PAGE NO.</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ABSTRACT</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iv</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LIST OF TABLES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v</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LIST OF FIGURES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vi</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INTRODUCTION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1.1 Problem Statement</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1.2 Objectives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1.3 Scope of the Project</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1.4 Organization of the Report</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LITERATURE REVIEW</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2.1 Introduction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2.2 Existing Approaches to Traffic Congestion Prediction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2.3 IoT Sensor Telemetry &amp; Stream Ingestion Techniques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2.4 Machine Learning Techniques for Congestion Classification &amp; Forecasting</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7</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2.5 Application of Statistical &amp; Diurnal Analysis in ITS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8</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2.6 Comparative Analysis of Machine Learning Models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9</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2.7 Model Evaluation and Interpretation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10</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2.8 Research Challenges and Limitations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2.9 Summary</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3</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PROPOSED SYSTEM</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3.1 Architecture of the System</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3.2 System Components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15</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3.3 Feature Engineering Formulas and Mathematical Assumptions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17</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3.4 Advantages and Design Considerations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4</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DATA PREPROCESSING AND EDA</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4.1 Handling Missing Values &amp; Data Quality Inspection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4.2 Data Transformation and Feature Engineering</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25</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4.3 Exploratory Data Analysis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27</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4.4 Descriptive Statistics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4.5 Correlation Analysis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5</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DATA ANALYSIS AND IMPLEMENTATION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5.1 Tools and Technologies Used</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5.2 Python &amp; Backend Implementation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37</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5.3 Machine Learning Classification and Forecasting Models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39</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5.4 Traffic Prediction and Model Evaluation Methodology</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6</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RESULTS AND ANALYSIS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6.1 Results and Visualizations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6.2 Interpretation of Findings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6.3 Overall Intelligent Transportation Insights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48</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6.4 Model Performance Discussion and Limitations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49</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7</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CONCLUSION AND FUTURE SCOPE</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7.1 Conclusion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7.2 Future Scope</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REFERENCES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APPENDIX A – Source Code Excerpts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APPENDIX B – Additional Visualizations &amp; Model Diagnostics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58</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APPENDIX C – Project Repository &amp; System Deployment Instructions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63</w:t>
            </w:r>
          </w:p>
        </w:tc>
      </w:tr>
    </w:tbl>
    <w:p>
      <w:pPr>
        <w:spacing w:before="240"/>
        <w:jc w:val="center"/>
      </w:pPr>
      <w:r>
        <w:rPr>
          <w:rFonts w:ascii="Times New Roman" w:hAnsi="Times New Roman"/>
          <w:sz w:val="22"/>
        </w:rPr>
        <w:t>ii</w:t>
      </w:r>
    </w:p>
    <w:p>
      <w:r>
        <w:br w:type="page"/>
      </w:r>
    </w:p>
    <w:p>
      <w:pPr>
        <w:spacing w:before="400" w:after="320"/>
        <w:jc w:val="center"/>
      </w:pPr>
      <w:r>
        <w:rPr>
          <w:rFonts w:ascii="Times New Roman" w:hAnsi="Times New Roman"/>
          <w:b/>
          <w:sz w:val="30"/>
        </w:rPr>
        <w:t>ABSTRACT</w:t>
      </w:r>
    </w:p>
    <w:p>
      <w:pPr>
        <w:spacing w:after="240" w:line="276" w:lineRule="auto"/>
        <w:jc w:val="both"/>
      </w:pPr>
      <w:r>
        <w:rPr>
          <w:rFonts w:ascii="Times New Roman" w:hAnsi="Times New Roman"/>
          <w:b w:val="0"/>
          <w:i w:val="0"/>
          <w:color w:val="000000"/>
          <w:sz w:val="24"/>
        </w:rPr>
        <w:t>Real-time traffic congestion monitoring and predictive modeling have become critical components of modern Intelligent Transportation Systems (ITS) to alleviate vehicular delays, reduce greenhouse gas emissions, and enhance urban roadway efficiency. However, conventional traffic management approaches frequently depend on static time-of-day signal schedules or retrospective incident reporting, failing to anticipate the rapid formation of bottleneck shockwaves. This project presents UrbanFlow AI, an end-to-end real-time traffic congestion prediction platform that integrates continuous IoT sensor telemetry ingestion, physics-grounded feature engineering, and gradient-boosted machine learning to forecast traffic congestion levels and continuous speeds across a 15-to-30-minute horizon.</w:t>
      </w:r>
    </w:p>
    <w:p>
      <w:pPr>
        <w:spacing w:after="240" w:line="276" w:lineRule="auto"/>
        <w:jc w:val="both"/>
      </w:pPr>
      <w:r>
        <w:rPr>
          <w:rFonts w:ascii="Times New Roman" w:hAnsi="Times New Roman"/>
          <w:b w:val="0"/>
          <w:i w:val="0"/>
          <w:color w:val="000000"/>
          <w:sz w:val="24"/>
        </w:rPr>
        <w:t>A metropolitan benchmark dataset modeling 10 strategic multi-modal urban corridors over 14 consecutive days (40,320 timestamped 5-minute intervals) was constructed in strict accordance with Greenshields Fundamental Diagram of Traffic Flow (q = k · v) and Highway Capacity Manual (HCM) Level of Service (LOS) criteria. The data ingestion layer enforces rigorous data quality safeguards, including timestamp parsing, duplicate record suppression, and sensor boundary validation (speed between 0 and 200 km/h, road occupancy between 0% and 100%). Twenty deterministic features are engineered chronologically without lookahead bias, incorporating backward speed lags (t-1, t-2, t-3), 15-minute rolling space mean speeds and standard deviations, speed deceleration drop rates, cyclical diurnal sine/cosine encodings, and volume-to-capacity (V/C) ratios.</w:t>
      </w:r>
    </w:p>
    <w:p>
      <w:pPr>
        <w:spacing w:after="240" w:line="276" w:lineRule="auto"/>
        <w:jc w:val="both"/>
      </w:pPr>
      <w:r>
        <w:rPr>
          <w:rFonts w:ascii="Times New Roman" w:hAnsi="Times New Roman"/>
          <w:b w:val="0"/>
          <w:i w:val="0"/>
          <w:color w:val="000000"/>
          <w:sz w:val="24"/>
        </w:rPr>
        <w:t>To rigorously evaluate predictive performance, data were partitioned strictly chronologically (80% training on Days 1 to 11.2, 8,060 test samples on Days 11.2 to 14.0) to eliminate temporal data leakage. A multi-class Histogram-based Gradient Boosting Classifier (HistGBM) achieved 90.21% accuracy and a macro F1-score of 0.7729, representing a 302% relative improvement over the stratified baseline (0.1921), with superior sensitivity to minority severe gridlock states (LOS F). For continuous 15-minute numerical speed forecasting, the HistGBM Regressor attained a Mean Absolute Error (MAE) of 2.382 km/h and an R² of 0.9795, reducing error by 23.5% relative to the persistence baseline (3.112 km/h).</w:t>
      </w:r>
    </w:p>
    <w:p>
      <w:pPr>
        <w:spacing w:after="480" w:line="276" w:lineRule="auto"/>
        <w:jc w:val="both"/>
      </w:pPr>
      <w:r>
        <w:rPr>
          <w:rFonts w:ascii="Times New Roman" w:hAnsi="Times New Roman"/>
          <w:b w:val="0"/>
          <w:i w:val="0"/>
          <w:color w:val="000000"/>
          <w:sz w:val="24"/>
        </w:rPr>
        <w:t>The operational architecture couples an asynchronous FastAPI backend utilizing Write-Ahead Logging (WAL) SQLite storage and an ASGI WebSocket broadcasting bus (ws://localhost:8000/api/ws/traffic-stream) with an interactive React + Vite + TypeScript web dashboard. The frontend incorporates Leaflet OpenStreetMap geographic visualization with dynamic color-coded sensor markers, live telemetry feeds, interactive incident simulation, an ML prediction sandbox, and empirical confusion matrix diagnostics. All 10 automated test suites executed with 100% pass rates, verifying end-to-end system reliability for anticipatory urban traffic control.</w:t>
      </w:r>
    </w:p>
    <w:p>
      <w:pPr>
        <w:jc w:val="center"/>
      </w:pPr>
      <w:r>
        <w:rPr>
          <w:rFonts w:ascii="Times New Roman" w:hAnsi="Times New Roman"/>
          <w:sz w:val="22"/>
        </w:rPr>
        <w:t>iv</w:t>
      </w:r>
    </w:p>
    <w:p>
      <w:r>
        <w:br w:type="page"/>
      </w:r>
    </w:p>
    <w:p>
      <w:pPr>
        <w:spacing w:before="320" w:after="320"/>
        <w:jc w:val="center"/>
      </w:pPr>
      <w:r>
        <w:rPr>
          <w:rFonts w:ascii="Times New Roman" w:hAnsi="Times New Roman"/>
          <w:b/>
          <w:sz w:val="30"/>
        </w:rPr>
        <w:t>LIST OF TABLES</w:t>
      </w:r>
    </w:p>
    <w:tbl>
      <w:tblPr>
        <w:tblW w:type="auto" w:w="0"/>
        <w:jc w:val="center"/>
        <w:tblLook w:firstColumn="1" w:firstRow="1" w:lastColumn="0" w:lastRow="0" w:noHBand="0" w:noVBand="1" w:val="04A0"/>
      </w:tblPr>
      <w:tblGrid>
        <w:gridCol w:w="2890"/>
        <w:gridCol w:w="2890"/>
        <w:gridCol w:w="2890"/>
      </w:tblGrid>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TABLE NO.</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TITLE</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PAGE NO.</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1.1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Traffic Congestion Economic and Environmental Impact Metrics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3.1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Highway Capacity Manual (HCM) Level of Service (LOS) Boundaries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17</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3.2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Summary of Extracted Feature Attributes and Engineering Purposes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19</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4.1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Key Attributes and Schema of the IoT Traffic Telemetry Dataset</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4.2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Summary of Data Preprocessing and Feature Preparation Stages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4.3</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Distribution of Ground-Truth HCM Congestion Level Categories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4.4</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Monitored Sensor Corridor Topology and Structural Specifications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4.5</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Descriptive Statistics of Numerical Telemetry Attributes (n = 40,320)</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33</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5.1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Tools, Libraries, and Implementation Technologies Used</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5.2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System Modules and Component Responsibilities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38</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5.3</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Classification Metrics Comparison Across Evaluated ML Models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5.4</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Continuous Numerical Speed Forecasting Performance (15-min Horizon)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6.1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Comprehensive Performance Scorecard of Classification Models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B.1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Confusion Matrix Consistency and Accuracy Verification Across Classes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59</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Table B.2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Per-Class Precision, Recall, and F1-Scores for HistGBM Classifier</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60</w:t>
            </w:r>
          </w:p>
        </w:tc>
      </w:tr>
    </w:tbl>
    <w:p>
      <w:pPr>
        <w:spacing w:before="240"/>
        <w:jc w:val="center"/>
      </w:pPr>
      <w:r>
        <w:rPr>
          <w:rFonts w:ascii="Times New Roman" w:hAnsi="Times New Roman"/>
          <w:sz w:val="22"/>
        </w:rPr>
        <w:t>v</w:t>
      </w:r>
    </w:p>
    <w:p>
      <w:r>
        <w:br w:type="page"/>
      </w:r>
    </w:p>
    <w:p>
      <w:pPr>
        <w:spacing w:before="320" w:after="320"/>
        <w:jc w:val="center"/>
      </w:pPr>
      <w:r>
        <w:rPr>
          <w:rFonts w:ascii="Times New Roman" w:hAnsi="Times New Roman"/>
          <w:b/>
          <w:sz w:val="30"/>
        </w:rPr>
        <w:t>LIST OF FIGURES</w:t>
      </w:r>
    </w:p>
    <w:tbl>
      <w:tblPr>
        <w:tblW w:type="auto" w:w="0"/>
        <w:jc w:val="center"/>
        <w:tblLook w:firstColumn="1" w:firstRow="1" w:lastColumn="0" w:lastRow="0" w:noHBand="0" w:noVBand="1" w:val="04A0"/>
      </w:tblPr>
      <w:tblGrid>
        <w:gridCol w:w="2890"/>
        <w:gridCol w:w="2890"/>
        <w:gridCol w:w="2890"/>
      </w:tblGrid>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FIGURE NO.</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TITLE</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2"/>
              </w:rPr>
              <w:t>PAGE NO.</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3.1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Overall Multi-Layer System Architecture and End-to-End Workflow</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14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4.1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Distribution of Space Mean Speed Across Urban Sensor Network</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28</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4.2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Diurnal Traffic Dynamics: Inverse Relationship Between Volume and Speed</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29</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4.3</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Greenshields Fundamental Diagram: Space Mean Speed vs Traffic Density</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30</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4.4</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Ground-Truth HCM Level of Service (LOS) Congestion Distribution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4.5</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Geographic Sensor Node Topology Across Metropolitan Corridor</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34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6.1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Comparative Test Accuracy of Classification Models</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44</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6.2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Multi-Class Confusion Matrix for Production HistGBM Classifier</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45</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6.3</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Top 10 Permutation Feature Importances for 15-Minute Forecasting</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46</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6.4</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Residual Error Distribution for Continuous 15-Minute Speed Forecasting</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47</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B.1</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Overview Monitoring Dashboard Real-Time Telemetry Interface</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60</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B.2</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Interactive Leaflet OpenStreetMap Geographic Traffic Visualization</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61</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B.3</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Live IoT Sensor Telemetry Stream and Incident Simulation Control Panel</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62</w:t>
            </w:r>
          </w:p>
        </w:tc>
      </w:tr>
      <w:tr>
        <w:trPr>
          <w:cantSplit/>
        </w:trPr>
        <w:tc>
          <w:tcPr>
            <w:tcW w:type="dxa" w:w="216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1"/>
              </w:rPr>
              <w:t>Figure B.4</w:t>
            </w:r>
          </w:p>
        </w:tc>
        <w:tc>
          <w:tcPr>
            <w:tcW w:type="dxa" w:w="6048"/>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left"/>
            </w:pPr>
            <w:r>
              <w:rPr>
                <w:rFonts w:ascii="Times New Roman" w:hAnsi="Times New Roman"/>
                <w:sz w:val="21"/>
              </w:rPr>
              <w:t>Real-Time Machine Learning Prediction Sandbox and Explainability Feed</w:t>
            </w:r>
          </w:p>
        </w:tc>
        <w:tc>
          <w:tcPr>
            <w:tcW w:type="dxa" w:w="158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right"/>
            </w:pPr>
            <w:r>
              <w:rPr>
                <w:rFonts w:ascii="Times New Roman" w:hAnsi="Times New Roman"/>
                <w:sz w:val="21"/>
              </w:rPr>
              <w:t>63</w:t>
            </w:r>
          </w:p>
        </w:tc>
      </w:tr>
    </w:tbl>
    <w:p>
      <w:pPr>
        <w:spacing w:before="240"/>
        <w:jc w:val="center"/>
      </w:pPr>
      <w:r>
        <w:rPr>
          <w:rFonts w:ascii="Times New Roman" w:hAnsi="Times New Roman"/>
          <w:sz w:val="22"/>
        </w:rPr>
        <w:t>vi</w:t>
      </w:r>
    </w:p>
    <w:p>
      <w:r>
        <w:br w:type="page"/>
      </w:r>
    </w:p>
    <w:p>
      <w:pPr>
        <w:keepNext/>
        <w:spacing w:before="240" w:after="240"/>
        <w:jc w:val="left"/>
      </w:pPr>
      <w:r>
        <w:rPr>
          <w:rFonts w:ascii="Times New Roman" w:hAnsi="Times New Roman"/>
          <w:b/>
          <w:color w:val="000000"/>
          <w:sz w:val="30"/>
        </w:rPr>
        <w:t>CHAPTER 1</w:t>
        <w:br/>
        <w:t>INTRODUCTION</w:t>
      </w:r>
    </w:p>
    <w:p>
      <w:pPr>
        <w:keepNext/>
        <w:spacing w:before="200" w:after="120"/>
        <w:jc w:val="left"/>
      </w:pPr>
      <w:r>
        <w:rPr>
          <w:rFonts w:ascii="Times New Roman" w:hAnsi="Times New Roman"/>
          <w:b/>
          <w:color w:val="000000"/>
          <w:sz w:val="26"/>
        </w:rPr>
        <w:t>1.1 Problem Statement</w:t>
      </w:r>
    </w:p>
    <w:p>
      <w:pPr>
        <w:spacing w:after="120" w:line="276" w:lineRule="auto"/>
        <w:jc w:val="both"/>
      </w:pPr>
      <w:r>
        <w:rPr>
          <w:rFonts w:ascii="Times New Roman" w:hAnsi="Times New Roman"/>
          <w:b w:val="0"/>
          <w:i w:val="0"/>
          <w:color w:val="000000"/>
          <w:sz w:val="24"/>
        </w:rPr>
        <w:t>Urban vehicular traffic congestion is one of the most pressing infrastructure challenges confronting contemporary smart cities. Rapid population growth, increased vehicle ownership, and constrained arterial capacities result in recurrent morning and evening rush-hour bottlenecks. Furthermore, non-recurrent incidents, such as vehicle collisions, road construction, and stalled vehicles, introduce severe non-linear shockwaves that propagate upstream through road networks. According to global urban mobility studies, traffic congestion accounts for billions of lost productivity hours annually, substantial increases in fuel consumption, and elevated vehicular emissions that directly impact air quality and public health.</w:t>
      </w:r>
    </w:p>
    <w:p>
      <w:pPr>
        <w:spacing w:after="120" w:line="276" w:lineRule="auto"/>
        <w:jc w:val="both"/>
      </w:pPr>
      <w:r>
        <w:rPr>
          <w:rFonts w:ascii="Times New Roman" w:hAnsi="Times New Roman"/>
          <w:b w:val="0"/>
          <w:i w:val="0"/>
          <w:color w:val="000000"/>
          <w:sz w:val="24"/>
        </w:rPr>
        <w:t>Traditional Intelligent Transportation Systems (ITS) predominantly rely on static, time-of-day traffic signal control plans or legacy loop-detector systems that operate reactively. Under such paradigms, traffic management centers detect congestion only after physical queues have already formed and spillback has occurred. Developing proactive traffic management strategies necessitates anticipating congestion transitions—shifting from uncongested free-flow regimes into oversaturated bottleneck conditions—fifteen to thirty minutes before shockwaves materialize. The primary technical challenge addressed in this research is: How can continuous, multi-modal IoT sensor telemetry streams be ingested, validated, and transformed in real time using physics-grounded machine learning to provide accurate, multi-horizon traffic congestion predictions?</w:t>
      </w:r>
    </w:p>
    <w:p>
      <w:pPr>
        <w:spacing w:after="120" w:line="276" w:lineRule="auto"/>
        <w:jc w:val="both"/>
      </w:pPr>
      <w:r>
        <w:rPr>
          <w:rFonts w:ascii="Times New Roman" w:hAnsi="Times New Roman"/>
          <w:b w:val="0"/>
          <w:i w:val="0"/>
          <w:color w:val="000000"/>
          <w:sz w:val="24"/>
        </w:rPr>
        <w:t>To resolve this challenge, UrbanFlow AI introduces a complete real-time data streaming and predictive modeling platform that combines Greenshields traffic flow physics, continuous stream feature engineering, and gradient-boosted tree ensembles. The system is designed to provide transportation authorities with actionable foresight, enabling dynamic speed harmonization, ramp metering, and route diversion prior to gridlock formation.</w:t>
      </w:r>
    </w:p>
    <w:p>
      <w:pPr>
        <w:keepNext/>
        <w:spacing w:before="200" w:after="120"/>
        <w:jc w:val="left"/>
      </w:pPr>
      <w:r>
        <w:rPr>
          <w:rFonts w:ascii="Times New Roman" w:hAnsi="Times New Roman"/>
          <w:b/>
          <w:color w:val="000000"/>
          <w:sz w:val="26"/>
        </w:rPr>
        <w:t>1.2 Objectives</w:t>
      </w:r>
    </w:p>
    <w:p>
      <w:pPr>
        <w:spacing w:after="120" w:line="276" w:lineRule="auto"/>
        <w:jc w:val="both"/>
      </w:pPr>
      <w:r>
        <w:rPr>
          <w:rFonts w:ascii="Times New Roman" w:hAnsi="Times New Roman"/>
          <w:b w:val="0"/>
          <w:i w:val="0"/>
          <w:color w:val="000000"/>
          <w:sz w:val="24"/>
        </w:rPr>
        <w:t>The overarching objective of this project is to develop and evaluate an end-to-end real-time traffic congestion prediction platform utilizing continuous IoT sensor stream analytics and machine learning. Specific operational objectives include:</w:t>
      </w:r>
    </w:p>
    <w:p>
      <w:pPr>
        <w:spacing w:after="80" w:line="276" w:lineRule="auto"/>
        <w:jc w:val="both"/>
      </w:pPr>
      <w:r>
        <w:rPr>
          <w:rFonts w:ascii="Times New Roman" w:hAnsi="Times New Roman"/>
          <w:b w:val="0"/>
          <w:i w:val="0"/>
          <w:color w:val="000000"/>
          <w:sz w:val="24"/>
        </w:rPr>
        <w:t>1. To ingest continuous 5-minute interval IoT traffic sensor telemetry across multiple urban corridors, supporting vehicular count, space mean speed, loop occupancy, and density.</w:t>
      </w:r>
    </w:p>
    <w:p>
      <w:pPr>
        <w:spacing w:after="80" w:line="276" w:lineRule="auto"/>
        <w:jc w:val="both"/>
      </w:pPr>
      <w:r>
        <w:rPr>
          <w:rFonts w:ascii="Times New Roman" w:hAnsi="Times New Roman"/>
          <w:b w:val="0"/>
          <w:i w:val="0"/>
          <w:color w:val="000000"/>
          <w:sz w:val="24"/>
        </w:rPr>
        <w:t>2. To implement a rigorous data validation layer that parses timestamps, eliminates duplicate records, detects sensor calibration errors, and flags out-of-bounds telemetry.</w:t>
      </w:r>
    </w:p>
    <w:p>
      <w:pPr>
        <w:spacing w:after="80" w:line="276" w:lineRule="auto"/>
        <w:jc w:val="both"/>
      </w:pPr>
      <w:r>
        <w:rPr>
          <w:rFonts w:ascii="Times New Roman" w:hAnsi="Times New Roman"/>
          <w:b w:val="0"/>
          <w:i w:val="0"/>
          <w:color w:val="000000"/>
          <w:sz w:val="24"/>
        </w:rPr>
        <w:t>3. To engineer a deterministic 20-dimensional feature space incorporating backward temporal lags (t-1, t-2, t-3), 15-minute rolling space mean speeds and standard deviations, speed deceleration drop rates, cyclical diurnal sine/cosine encodings, and volume-to-capacity ratios without lookahead bias.</w:t>
      </w:r>
    </w:p>
    <w:p>
      <w:pPr>
        <w:spacing w:after="80" w:line="276" w:lineRule="auto"/>
        <w:jc w:val="both"/>
      </w:pPr>
      <w:r>
        <w:rPr>
          <w:rFonts w:ascii="Times New Roman" w:hAnsi="Times New Roman"/>
          <w:b w:val="0"/>
          <w:i w:val="0"/>
          <w:color w:val="000000"/>
          <w:sz w:val="24"/>
        </w:rPr>
        <w:t>4. To perform comprehensive Exploratory Data Analysis (EDA) on a 14-day metropolitan benchmark dataset (40,320 observations) grounded in Greenshields fundamental traffic flow physics and Highway Capacity Manual (HCM) Level of Service (LOS) criteria.</w:t>
      </w:r>
    </w:p>
    <w:p>
      <w:pPr>
        <w:spacing w:after="80" w:line="276" w:lineRule="auto"/>
        <w:jc w:val="both"/>
      </w:pPr>
      <w:r>
        <w:rPr>
          <w:rFonts w:ascii="Times New Roman" w:hAnsi="Times New Roman"/>
          <w:b w:val="0"/>
          <w:i w:val="0"/>
          <w:color w:val="000000"/>
          <w:sz w:val="24"/>
        </w:rPr>
        <w:t>5. To train, evaluate, and compare multiple machine learning algorithms (Logistic Regression, Random Forest, and Histogram-based Gradient Boosting) for multi-class congestion classification under strict chronological 80/20 train/test splitting.</w:t>
      </w:r>
    </w:p>
    <w:p>
      <w:pPr>
        <w:spacing w:after="80" w:line="276" w:lineRule="auto"/>
        <w:jc w:val="both"/>
      </w:pPr>
      <w:r>
        <w:rPr>
          <w:rFonts w:ascii="Times New Roman" w:hAnsi="Times New Roman"/>
          <w:b w:val="0"/>
          <w:i w:val="0"/>
          <w:color w:val="000000"/>
          <w:sz w:val="24"/>
        </w:rPr>
        <w:t>6. To develop a continuous numerical speed forecasting model capable of predicting future space mean speeds across 15-minute and 30-minute horizons, outperforming naive persistence baselines.</w:t>
      </w:r>
    </w:p>
    <w:p>
      <w:pPr>
        <w:spacing w:after="80" w:line="276" w:lineRule="auto"/>
        <w:jc w:val="both"/>
      </w:pPr>
      <w:r>
        <w:rPr>
          <w:rFonts w:ascii="Times New Roman" w:hAnsi="Times New Roman"/>
          <w:b w:val="0"/>
          <w:i w:val="0"/>
          <w:color w:val="000000"/>
          <w:sz w:val="24"/>
        </w:rPr>
        <w:t>7. To implement an asynchronous, low-latency FastAPI backend service with Write-Ahead Logging (WAL) SQLite persistence and WebSocket broadcasting capabilities.</w:t>
      </w:r>
    </w:p>
    <w:p>
      <w:pPr>
        <w:spacing w:after="80" w:line="276" w:lineRule="auto"/>
        <w:jc w:val="both"/>
      </w:pPr>
      <w:r>
        <w:rPr>
          <w:rFonts w:ascii="Times New Roman" w:hAnsi="Times New Roman"/>
          <w:b w:val="0"/>
          <w:i w:val="0"/>
          <w:color w:val="000000"/>
          <w:sz w:val="24"/>
        </w:rPr>
        <w:t>8. To construct a responsive React + Vite + TypeScript dashboard incorporating Leaflet OpenStreetMap geographic visualization, real-time telemetry tables, incident simulation controls, and an on-demand prediction sandbox.</w:t>
      </w:r>
    </w:p>
    <w:p>
      <w:pPr>
        <w:spacing w:after="80" w:line="276" w:lineRule="auto"/>
        <w:jc w:val="both"/>
      </w:pPr>
      <w:r>
        <w:rPr>
          <w:rFonts w:ascii="Times New Roman" w:hAnsi="Times New Roman"/>
          <w:b w:val="0"/>
          <w:i w:val="0"/>
          <w:color w:val="000000"/>
          <w:sz w:val="24"/>
        </w:rPr>
        <w:t>9. To execute a comprehensive automated verification suite ensuring 100% test pass rates across API endpoints, data validation schemas, and inference pipelines.</w:t>
      </w:r>
    </w:p>
    <w:p>
      <w:pPr>
        <w:spacing w:after="80" w:line="276" w:lineRule="auto"/>
        <w:jc w:val="both"/>
      </w:pPr>
      <w:r>
        <w:rPr>
          <w:rFonts w:ascii="Times New Roman" w:hAnsi="Times New Roman"/>
          <w:b w:val="0"/>
          <w:i w:val="0"/>
          <w:color w:val="000000"/>
          <w:sz w:val="24"/>
        </w:rPr>
        <w:t>10. To provide transparent natural language explainability for all machine learning predictions, establishing model trust for urban traffic operators.</w:t>
      </w:r>
    </w:p>
    <w:p>
      <w:pPr>
        <w:keepNext/>
        <w:spacing w:before="200" w:after="120"/>
        <w:jc w:val="left"/>
      </w:pPr>
      <w:r>
        <w:rPr>
          <w:rFonts w:ascii="Times New Roman" w:hAnsi="Times New Roman"/>
          <w:b/>
          <w:color w:val="000000"/>
          <w:sz w:val="26"/>
        </w:rPr>
        <w:t>1.3 Scope of the Project</w:t>
      </w:r>
    </w:p>
    <w:p>
      <w:pPr>
        <w:spacing w:after="120" w:line="276" w:lineRule="auto"/>
        <w:jc w:val="both"/>
      </w:pPr>
      <w:r>
        <w:rPr>
          <w:rFonts w:ascii="Times New Roman" w:hAnsi="Times New Roman"/>
          <w:b w:val="0"/>
          <w:i w:val="0"/>
          <w:color w:val="000000"/>
          <w:sz w:val="24"/>
        </w:rPr>
        <w:t>The scope of this project encompasses the end-to-end design, implementation, evaluation, and deployment of a real-time traffic congestion prediction system. The data domain models an urban sensor network of 10 multi-modal corridors across major arterials, freeways, transit interchanges, and bridge approaches. The system incorporates historical data analysis over 40,320 observations, offline machine learning model training, and a continuous real-time background simulation engine emitting telemetry every 3.0 seconds.</w:t>
      </w:r>
    </w:p>
    <w:p>
      <w:pPr>
        <w:spacing w:after="120" w:line="276" w:lineRule="auto"/>
        <w:jc w:val="both"/>
      </w:pPr>
      <w:r>
        <w:rPr>
          <w:rFonts w:ascii="Times New Roman" w:hAnsi="Times New Roman"/>
          <w:b w:val="0"/>
          <w:i w:val="0"/>
          <w:color w:val="000000"/>
          <w:sz w:val="24"/>
        </w:rPr>
        <w:t>The scope explicitly covers both classification (Free Flow, Moderate, Heavy, Severe) and continuous regression (15-minute and 30-minute speed forecasts). The technological scope spans Python 3.11, FastAPI, Scikit-Learn, SQLite, and a modern React 18 web interface. Scope limitations are explicitly recognized: physical roadside sensor hardware was simulated using high-fidelity Greenshields equations because dedicated municipal IoT roadside infrastructure and live city camera streams were not physically accessible. The simulation honest fallback is fully documented.</w:t>
      </w:r>
    </w:p>
    <w:p>
      <w:pPr>
        <w:keepNext/>
        <w:spacing w:before="200" w:after="120"/>
        <w:jc w:val="left"/>
      </w:pPr>
      <w:r>
        <w:rPr>
          <w:rFonts w:ascii="Times New Roman" w:hAnsi="Times New Roman"/>
          <w:b/>
          <w:color w:val="000000"/>
          <w:sz w:val="26"/>
        </w:rPr>
        <w:t>1.4 Organization of the Report</w:t>
      </w:r>
    </w:p>
    <w:p>
      <w:pPr>
        <w:spacing w:after="120" w:line="276" w:lineRule="auto"/>
        <w:jc w:val="both"/>
      </w:pPr>
      <w:r>
        <w:rPr>
          <w:rFonts w:ascii="Times New Roman" w:hAnsi="Times New Roman"/>
          <w:b w:val="0"/>
          <w:i w:val="0"/>
          <w:color w:val="000000"/>
          <w:sz w:val="24"/>
        </w:rPr>
        <w:t>The remainder of this report is organized into six subsequent chapters, followed by references and three technical appendices:</w:t>
      </w:r>
    </w:p>
    <w:p>
      <w:pPr>
        <w:spacing w:after="120" w:line="276" w:lineRule="auto"/>
        <w:jc w:val="both"/>
      </w:pPr>
      <w:r>
        <w:rPr>
          <w:rFonts w:ascii="Times New Roman" w:hAnsi="Times New Roman"/>
          <w:b w:val="0"/>
          <w:i w:val="0"/>
          <w:color w:val="000000"/>
          <w:sz w:val="24"/>
        </w:rPr>
        <w:t>Chapter 2 provides a comprehensive review of existing literature in intelligent transportation systems, IoT stream ingestion architectures, traffic flow physics, and machine learning models for congestion forecasting.</w:t>
      </w:r>
    </w:p>
    <w:p>
      <w:pPr>
        <w:spacing w:after="120" w:line="276" w:lineRule="auto"/>
        <w:jc w:val="both"/>
      </w:pPr>
      <w:r>
        <w:rPr>
          <w:rFonts w:ascii="Times New Roman" w:hAnsi="Times New Roman"/>
          <w:b w:val="0"/>
          <w:i w:val="0"/>
          <w:color w:val="000000"/>
          <w:sz w:val="24"/>
        </w:rPr>
        <w:t>Chapter 3 presents the proposed system architecture, functional modules, mathematical formulas for Greenshields traffic flow, Level of Service criteria, and design considerations.</w:t>
      </w:r>
    </w:p>
    <w:p>
      <w:pPr>
        <w:spacing w:after="120" w:line="276" w:lineRule="auto"/>
        <w:jc w:val="both"/>
      </w:pPr>
      <w:r>
        <w:rPr>
          <w:rFonts w:ascii="Times New Roman" w:hAnsi="Times New Roman"/>
          <w:b w:val="0"/>
          <w:i w:val="0"/>
          <w:color w:val="000000"/>
          <w:sz w:val="24"/>
        </w:rPr>
        <w:t>Chapter 4 details dataset inspection, preprocessing safeguards, exploratory data analysis, descriptive statistics, and correlation matrices.</w:t>
      </w:r>
    </w:p>
    <w:p>
      <w:pPr>
        <w:spacing w:after="120" w:line="276" w:lineRule="auto"/>
        <w:jc w:val="both"/>
      </w:pPr>
      <w:r>
        <w:rPr>
          <w:rFonts w:ascii="Times New Roman" w:hAnsi="Times New Roman"/>
          <w:b w:val="0"/>
          <w:i w:val="0"/>
          <w:color w:val="000000"/>
          <w:sz w:val="24"/>
        </w:rPr>
        <w:t>Chapter 5 outlines the implementation technologies, asynchronous FastAPI streaming engine, WebSocket broadcasting protocol, and machine learning training pipeline.</w:t>
      </w:r>
    </w:p>
    <w:p>
      <w:pPr>
        <w:spacing w:after="120" w:line="276" w:lineRule="auto"/>
        <w:jc w:val="both"/>
      </w:pPr>
      <w:r>
        <w:rPr>
          <w:rFonts w:ascii="Times New Roman" w:hAnsi="Times New Roman"/>
          <w:b w:val="0"/>
          <w:i w:val="0"/>
          <w:color w:val="000000"/>
          <w:sz w:val="24"/>
        </w:rPr>
        <w:t>Chapter 6 reports experimental findings, comparative model evaluations, confusion matrix diagnostics, feature importances, and discussion of performance limitations.</w:t>
      </w:r>
    </w:p>
    <w:p>
      <w:pPr>
        <w:spacing w:after="120" w:line="276" w:lineRule="auto"/>
        <w:jc w:val="both"/>
      </w:pPr>
      <w:r>
        <w:rPr>
          <w:rFonts w:ascii="Times New Roman" w:hAnsi="Times New Roman"/>
          <w:b w:val="0"/>
          <w:i w:val="0"/>
          <w:color w:val="000000"/>
          <w:sz w:val="24"/>
        </w:rPr>
        <w:t>Chapter 7 concludes the report and discusses avenues for future research, including graph neural networks and live municipal Kafka integrations.</w:t>
      </w:r>
    </w:p>
    <w:p>
      <w:r>
        <w:br w:type="page"/>
      </w:r>
    </w:p>
    <w:p>
      <w:pPr>
        <w:keepNext/>
        <w:spacing w:before="240" w:after="240"/>
        <w:jc w:val="left"/>
      </w:pPr>
      <w:r>
        <w:rPr>
          <w:rFonts w:ascii="Times New Roman" w:hAnsi="Times New Roman"/>
          <w:b/>
          <w:color w:val="000000"/>
          <w:sz w:val="30"/>
        </w:rPr>
        <w:t>CHAPTER 2</w:t>
        <w:br/>
        <w:t>LITERATURE REVIEW</w:t>
      </w:r>
    </w:p>
    <w:p>
      <w:pPr>
        <w:keepNext/>
        <w:spacing w:before="200" w:after="120"/>
        <w:jc w:val="left"/>
      </w:pPr>
      <w:r>
        <w:rPr>
          <w:rFonts w:ascii="Times New Roman" w:hAnsi="Times New Roman"/>
          <w:b/>
          <w:color w:val="000000"/>
          <w:sz w:val="26"/>
        </w:rPr>
        <w:t>2.1 Introduction</w:t>
      </w:r>
    </w:p>
    <w:p>
      <w:pPr>
        <w:spacing w:after="120" w:line="276" w:lineRule="auto"/>
        <w:jc w:val="both"/>
      </w:pPr>
      <w:r>
        <w:rPr>
          <w:rFonts w:ascii="Times New Roman" w:hAnsi="Times New Roman"/>
          <w:b w:val="0"/>
          <w:i w:val="0"/>
          <w:color w:val="000000"/>
          <w:sz w:val="24"/>
        </w:rPr>
        <w:t>Traffic congestion prediction represents a cornerstone of Intelligent Transportation Systems (ITS). As metropolitan road networks experience escalating travel demands, researchers have explored diverse methodologies ranging from macroscopic mathematical fluid-flow approximations to data-driven deep learning models. This chapter critically reviews key research contributions across IoT stream processing, macroscopic traffic flow theory, machine learning classification, and time-series forecasting, establishing the research gap addressed by UrbanFlow AI.</w:t>
      </w:r>
    </w:p>
    <w:p>
      <w:pPr>
        <w:keepNext/>
        <w:spacing w:before="200" w:after="120"/>
        <w:jc w:val="left"/>
      </w:pPr>
      <w:r>
        <w:rPr>
          <w:rFonts w:ascii="Times New Roman" w:hAnsi="Times New Roman"/>
          <w:b/>
          <w:color w:val="000000"/>
          <w:sz w:val="26"/>
        </w:rPr>
        <w:t>2.2 Existing Approaches to Traffic Congestion Prediction</w:t>
      </w:r>
    </w:p>
    <w:p>
      <w:pPr>
        <w:spacing w:after="120" w:line="276" w:lineRule="auto"/>
        <w:jc w:val="both"/>
      </w:pPr>
      <w:r>
        <w:rPr>
          <w:rFonts w:ascii="Times New Roman" w:hAnsi="Times New Roman"/>
          <w:b w:val="0"/>
          <w:i w:val="0"/>
          <w:color w:val="000000"/>
          <w:sz w:val="24"/>
        </w:rPr>
        <w:t>Early traffic prediction research relied heavily on parametric time-series techniques, notably Autoregressive Integrated Moving Average (ARIMA) models, Seasonal ARIMA (SARIMA), and Kalman filtering. While computationally lightweight, these linear formulations struggle to capture sudden, non-linear traffic breakdown phenomena caused by accidents or rapid demand surges. Parametric models assume stationary statistical properties that rarely hold across diurnal peak-period transitions.</w:t>
      </w:r>
    </w:p>
    <w:p>
      <w:pPr>
        <w:spacing w:after="120" w:line="276" w:lineRule="auto"/>
        <w:jc w:val="both"/>
      </w:pPr>
      <w:r>
        <w:rPr>
          <w:rFonts w:ascii="Times New Roman" w:hAnsi="Times New Roman"/>
          <w:b w:val="0"/>
          <w:i w:val="0"/>
          <w:color w:val="000000"/>
          <w:sz w:val="24"/>
        </w:rPr>
        <w:t>Macroscopic traffic simulation tools (e.g., SUMO, VISSIM, and AIMSUN) provide high-fidelity vehicle-following representations based on car-following and lane-changing models. However, executing micro-simulations across extensive metropolitan networks in real time demands immense computational resources, rendering them impractical for sub-second edge deployment. Consequently, data-driven machine learning algorithms trained on high-resolution IoT sensor streams have emerged as the dominant paradigm.</w:t>
      </w:r>
    </w:p>
    <w:p>
      <w:pPr>
        <w:keepNext/>
        <w:spacing w:before="200" w:after="120"/>
        <w:jc w:val="left"/>
      </w:pPr>
      <w:r>
        <w:rPr>
          <w:rFonts w:ascii="Times New Roman" w:hAnsi="Times New Roman"/>
          <w:b/>
          <w:color w:val="000000"/>
          <w:sz w:val="26"/>
        </w:rPr>
        <w:t>2.3 IoT Sensor Telemetry &amp; Stream Ingestion Techniques</w:t>
      </w:r>
    </w:p>
    <w:p>
      <w:pPr>
        <w:spacing w:after="120" w:line="276" w:lineRule="auto"/>
        <w:jc w:val="both"/>
      </w:pPr>
      <w:r>
        <w:rPr>
          <w:rFonts w:ascii="Times New Roman" w:hAnsi="Times New Roman"/>
          <w:b w:val="0"/>
          <w:i w:val="0"/>
          <w:color w:val="000000"/>
          <w:sz w:val="24"/>
        </w:rPr>
        <w:t>Modern urban traffic monitoring relies on distributed sensing modalities, including inductive loop detectors, Bluetooth/Wi-Fi travel time scanners, microwave radar, and Automatic Number Plate Recognition (ANPR) cameras. Roadside sensors typically aggregate telemetry over 1-minute to 5-minute sampling intervals, transmitting measurements to centralized traffic management centers. Research emphasizes that real-time ingestion pipelines must handle out-of-bounds telemetry, missing observations caused by transmission packet dropouts, and noisy sensor drift without crashing predictive models.</w:t>
      </w:r>
    </w:p>
    <w:p>
      <w:pPr>
        <w:keepNext/>
        <w:spacing w:before="200" w:after="120"/>
        <w:jc w:val="left"/>
      </w:pPr>
      <w:r>
        <w:rPr>
          <w:rFonts w:ascii="Times New Roman" w:hAnsi="Times New Roman"/>
          <w:b/>
          <w:color w:val="000000"/>
          <w:sz w:val="26"/>
        </w:rPr>
        <w:t>2.4 Machine Learning Techniques for Congestion Classification &amp; Speed Forecasting</w:t>
      </w:r>
    </w:p>
    <w:p>
      <w:pPr>
        <w:spacing w:after="120" w:line="276" w:lineRule="auto"/>
        <w:jc w:val="both"/>
      </w:pPr>
      <w:r>
        <w:rPr>
          <w:rFonts w:ascii="Times New Roman" w:hAnsi="Times New Roman"/>
          <w:b w:val="0"/>
          <w:i w:val="0"/>
          <w:color w:val="000000"/>
          <w:sz w:val="24"/>
        </w:rPr>
        <w:t>Machine learning algorithms have demonstrated significant efficacy in non-linear traffic pattern recognition. Classification approaches categorize traffic states into discrete regimes (e.g., Highway Capacity Manual Level of Service categories), allowing operators to trigger localized warning signs and variable speed limit advisories. Support Vector Machines (SVM) and Multi-Layer Perceptrons (MLP) provide robust decision boundaries but often require careful hyperparameter tuning and extensive training times.</w:t>
      </w:r>
    </w:p>
    <w:p>
      <w:pPr>
        <w:spacing w:after="120" w:line="276" w:lineRule="auto"/>
        <w:jc w:val="both"/>
      </w:pPr>
      <w:r>
        <w:rPr>
          <w:rFonts w:ascii="Times New Roman" w:hAnsi="Times New Roman"/>
          <w:b w:val="0"/>
          <w:i w:val="0"/>
          <w:color w:val="000000"/>
          <w:sz w:val="24"/>
        </w:rPr>
        <w:t>Decision tree ensembles, particularly Random Forest and Gradient Boosted Decision Trees (GBDT), have exhibited superior predictive performance on tabular traffic telemetry. Histogram-based Gradient Boosting (HistGBM) discretizes continuous features into integer-valued bins, dramatically accelerating tree construction while providing built-in handling of missing values and natural resistance to numerical outliers. For continuous speed forecasting, gradient boosting combines weak regression trees sequentially, capturing non-linear shockwave dissipation effectively.</w:t>
      </w:r>
    </w:p>
    <w:p>
      <w:pPr>
        <w:keepNext/>
        <w:spacing w:before="200" w:after="120"/>
        <w:jc w:val="left"/>
      </w:pPr>
      <w:r>
        <w:rPr>
          <w:rFonts w:ascii="Times New Roman" w:hAnsi="Times New Roman"/>
          <w:b/>
          <w:color w:val="000000"/>
          <w:sz w:val="26"/>
        </w:rPr>
        <w:t>2.5 Application of Statistical &amp; Diurnal Analysis in Intelligent Transportation Systems</w:t>
      </w:r>
    </w:p>
    <w:p>
      <w:pPr>
        <w:spacing w:after="120" w:line="276" w:lineRule="auto"/>
        <w:jc w:val="both"/>
      </w:pPr>
      <w:r>
        <w:rPr>
          <w:rFonts w:ascii="Times New Roman" w:hAnsi="Times New Roman"/>
          <w:b w:val="0"/>
          <w:i w:val="0"/>
          <w:color w:val="000000"/>
          <w:sz w:val="24"/>
        </w:rPr>
        <w:t>Urban traffic dynamics exhibit pronounced diurnal and weekly cyclical patterns. Morning commuting peaks (07:30 to 09:30) and evening return peaks (16:30 to 19:30) reflect regular socioeconomic activity, whereas weekend patterns display smoother, mid-afternoon demand curves. Studies demonstrate that encoding diurnal time cyclically using trigonometric sine and cosine transformations enables machine learning models to smoothly interpolate across midnight boundary discontinuities without introducing arbitrary step-function penalties.</w:t>
      </w:r>
    </w:p>
    <w:p>
      <w:pPr>
        <w:keepNext/>
        <w:spacing w:before="200" w:after="120"/>
        <w:jc w:val="left"/>
      </w:pPr>
      <w:r>
        <w:rPr>
          <w:rFonts w:ascii="Times New Roman" w:hAnsi="Times New Roman"/>
          <w:b/>
          <w:color w:val="000000"/>
          <w:sz w:val="26"/>
        </w:rPr>
        <w:t>2.6 Comparative Analysis of Machine Learning Models</w:t>
      </w:r>
    </w:p>
    <w:p>
      <w:pPr>
        <w:spacing w:after="120" w:line="276" w:lineRule="auto"/>
        <w:jc w:val="both"/>
      </w:pPr>
      <w:r>
        <w:rPr>
          <w:rFonts w:ascii="Times New Roman" w:hAnsi="Times New Roman"/>
          <w:b w:val="0"/>
          <w:i w:val="0"/>
          <w:color w:val="000000"/>
          <w:sz w:val="24"/>
        </w:rPr>
        <w:t>Evaluating candidate model architectures requires assessing trade-offs between predictive accuracy, computational latency, and memory footprint. Linear models (Ridge Regression, Logistic Regression) offer rapid training and transparent coefficients but underfit complex shockwave dynamics. Deep neural networks (LSTM, GRU, Temporal Convolutional Networks) capture long-range temporal dependencies but require extensive GPUs and exhibit vulnerability to training instability under sensor drift. Tree ensembles achieve state-of-the-art tabular accuracy with sub-millisecond inference latencies suitable for edge deployment.</w:t>
      </w:r>
    </w:p>
    <w:p>
      <w:pPr>
        <w:keepNext/>
        <w:spacing w:before="200" w:after="120"/>
        <w:jc w:val="left"/>
      </w:pPr>
      <w:r>
        <w:rPr>
          <w:rFonts w:ascii="Times New Roman" w:hAnsi="Times New Roman"/>
          <w:b/>
          <w:color w:val="000000"/>
          <w:sz w:val="26"/>
        </w:rPr>
        <w:t>2.7 Model Evaluation and Interpretation</w:t>
      </w:r>
    </w:p>
    <w:p>
      <w:pPr>
        <w:spacing w:after="120" w:line="276" w:lineRule="auto"/>
        <w:jc w:val="both"/>
      </w:pPr>
      <w:r>
        <w:rPr>
          <w:rFonts w:ascii="Times New Roman" w:hAnsi="Times New Roman"/>
          <w:b w:val="0"/>
          <w:i w:val="0"/>
          <w:color w:val="000000"/>
          <w:sz w:val="24"/>
        </w:rPr>
        <w:t>Evaluating traffic classification models demands balanced metrics due to intrinsic class imbalance; free-flow traffic typically constitutes 60% of daily observations, whereas severe gridlock accounts for less than 5%. In such contexts, raw accuracy is deceptive. Researchers mandate macro-averaged F1-scores and multi-class confusion matrices to verify that minority bottleneck regimes are accurately detected. For continuous forecasting, Mean Absolute Error (MAE) and Root Mean Squared Error (RMSE) quantify deviation in km/h against persistence baselines.</w:t>
      </w:r>
    </w:p>
    <w:p>
      <w:pPr>
        <w:keepNext/>
        <w:spacing w:before="200" w:after="120"/>
        <w:jc w:val="left"/>
      </w:pPr>
      <w:r>
        <w:rPr>
          <w:rFonts w:ascii="Times New Roman" w:hAnsi="Times New Roman"/>
          <w:b/>
          <w:color w:val="000000"/>
          <w:sz w:val="26"/>
        </w:rPr>
        <w:t>2.8 Research Challenges and Limitations</w:t>
      </w:r>
    </w:p>
    <w:p>
      <w:pPr>
        <w:spacing w:after="120" w:line="276" w:lineRule="auto"/>
        <w:jc w:val="both"/>
      </w:pPr>
      <w:r>
        <w:rPr>
          <w:rFonts w:ascii="Times New Roman" w:hAnsi="Times New Roman"/>
          <w:b w:val="0"/>
          <w:i w:val="0"/>
          <w:color w:val="000000"/>
          <w:sz w:val="24"/>
        </w:rPr>
        <w:t>A critical flaw in numerous published traffic prediction studies is temporal data leakage. When researchers apply randomized K-fold cross-validation or shuffle time-series observations, future traffic states contaminate the training partition, creating artificially inflated accuracy scores that collapse upon deployment. Furthermore, many systems operate solely as offline analytical scripts, lacking real-time WebSocket communication and interactive GIS mapping interfaces.</w:t>
      </w:r>
    </w:p>
    <w:p>
      <w:pPr>
        <w:keepNext/>
        <w:spacing w:before="200" w:after="120"/>
        <w:jc w:val="left"/>
      </w:pPr>
      <w:r>
        <w:rPr>
          <w:rFonts w:ascii="Times New Roman" w:hAnsi="Times New Roman"/>
          <w:b/>
          <w:color w:val="000000"/>
          <w:sz w:val="26"/>
        </w:rPr>
        <w:t>2.9 Summary</w:t>
      </w:r>
    </w:p>
    <w:p>
      <w:pPr>
        <w:spacing w:after="120" w:line="276" w:lineRule="auto"/>
        <w:jc w:val="both"/>
      </w:pPr>
      <w:r>
        <w:rPr>
          <w:rFonts w:ascii="Times New Roman" w:hAnsi="Times New Roman"/>
          <w:b w:val="0"/>
          <w:i w:val="0"/>
          <w:color w:val="000000"/>
          <w:sz w:val="24"/>
        </w:rPr>
        <w:t>The literature review confirms that while machine learning holds transformative promise for traffic congestion forecasting, practical deployment requires rigorous leakage-free temporal validation, robust stream ingestion, physics-grounded feature extraction, and accessible operator interfaces. UrbanFlow AI directly addresses these limitations by integrating Greenshields physics, chronological validation, and real-time WebSocket push notifications.</w:t>
      </w:r>
    </w:p>
    <w:p>
      <w:r>
        <w:br w:type="page"/>
      </w:r>
    </w:p>
    <w:p>
      <w:pPr>
        <w:keepNext/>
        <w:spacing w:before="240" w:after="240"/>
        <w:jc w:val="left"/>
      </w:pPr>
      <w:r>
        <w:rPr>
          <w:rFonts w:ascii="Times New Roman" w:hAnsi="Times New Roman"/>
          <w:b/>
          <w:color w:val="000000"/>
          <w:sz w:val="30"/>
        </w:rPr>
        <w:t>CHAPTER 3</w:t>
        <w:br/>
        <w:t>PROPOSED SYSTEM</w:t>
      </w:r>
    </w:p>
    <w:p>
      <w:pPr>
        <w:keepNext/>
        <w:spacing w:before="200" w:after="120"/>
        <w:jc w:val="left"/>
      </w:pPr>
      <w:r>
        <w:rPr>
          <w:rFonts w:ascii="Times New Roman" w:hAnsi="Times New Roman"/>
          <w:b/>
          <w:color w:val="000000"/>
          <w:sz w:val="26"/>
        </w:rPr>
        <w:t>3.1 Architecture of the System</w:t>
      </w:r>
    </w:p>
    <w:p>
      <w:pPr>
        <w:spacing w:after="120" w:line="276" w:lineRule="auto"/>
        <w:jc w:val="both"/>
      </w:pPr>
      <w:r>
        <w:rPr>
          <w:rFonts w:ascii="Times New Roman" w:hAnsi="Times New Roman"/>
          <w:b w:val="0"/>
          <w:i w:val="0"/>
          <w:color w:val="000000"/>
          <w:sz w:val="24"/>
        </w:rPr>
        <w:t>UrbanFlow AI is architected as an asynchronous, modular Intelligent Transportation System (ITS) platform organized into five functional layers: (1) IoT Telemetry Simulation and Sensing, (2) Ingestion and Data Quality Validation, (3) Physics-Grounded Feature Engineering, (4) Machine Learning Inference Core, and (5) WebSocket Broadcasting and Web Analytics Presentation. Figure 3.1 illustrates the complete system architecture.</w:t>
      </w:r>
    </w:p>
    <w:p>
      <w:pPr>
        <w:spacing w:before="160" w:after="80"/>
        <w:jc w:val="center"/>
      </w:pPr>
      <w:r>
        <w:drawing>
          <wp:inline xmlns:a="http://schemas.openxmlformats.org/drawingml/2006/main" xmlns:pic="http://schemas.openxmlformats.org/drawingml/2006/picture">
            <wp:extent cx="5303520" cy="3439252"/>
            <wp:docPr id="3" name="Picture 3"/>
            <wp:cNvGraphicFramePr>
              <a:graphicFrameLocks noChangeAspect="1"/>
            </wp:cNvGraphicFramePr>
            <a:graphic>
              <a:graphicData uri="http://schemas.openxmlformats.org/drawingml/2006/picture">
                <pic:pic>
                  <pic:nvPicPr>
                    <pic:cNvPr id="0" name="system_architecture_diagram.png"/>
                    <pic:cNvPicPr/>
                  </pic:nvPicPr>
                  <pic:blipFill>
                    <a:blip r:embed="rId11"/>
                    <a:stretch>
                      <a:fillRect/>
                    </a:stretch>
                  </pic:blipFill>
                  <pic:spPr>
                    <a:xfrm>
                      <a:off x="0" y="0"/>
                      <a:ext cx="5303520" cy="3439252"/>
                    </a:xfrm>
                    <a:prstGeom prst="rect"/>
                  </pic:spPr>
                </pic:pic>
              </a:graphicData>
            </a:graphic>
          </wp:inline>
        </w:drawing>
      </w:r>
    </w:p>
    <w:p>
      <w:pPr>
        <w:keepNext/>
        <w:spacing w:before="40" w:after="200"/>
        <w:jc w:val="center"/>
      </w:pPr>
      <w:r>
        <w:rPr>
          <w:rFonts w:ascii="Times New Roman" w:hAnsi="Times New Roman"/>
          <w:b/>
          <w:sz w:val="21"/>
        </w:rPr>
        <w:t>Figure 3.1: Overall Multi-Layer System Architecture and End-to-End Workflow</w:t>
      </w:r>
    </w:p>
    <w:p>
      <w:pPr>
        <w:spacing w:after="120" w:line="276" w:lineRule="auto"/>
        <w:jc w:val="both"/>
      </w:pPr>
      <w:r>
        <w:rPr>
          <w:rFonts w:ascii="Times New Roman" w:hAnsi="Times New Roman"/>
          <w:b w:val="0"/>
          <w:i w:val="0"/>
          <w:color w:val="000000"/>
          <w:sz w:val="24"/>
        </w:rPr>
        <w:t>Telemetry data flows unidirectionally from the physical/simulated sensor array through the validation and feature engineering modules before reaching the persistence and broadcast layers. This decoupled design guarantees that model retraining or database maintenance does not interrupt live telemetry ingestion.</w:t>
      </w:r>
    </w:p>
    <w:p>
      <w:pPr>
        <w:keepNext/>
        <w:spacing w:before="200" w:after="120"/>
        <w:jc w:val="left"/>
      </w:pPr>
      <w:r>
        <w:rPr>
          <w:rFonts w:ascii="Times New Roman" w:hAnsi="Times New Roman"/>
          <w:b/>
          <w:color w:val="000000"/>
          <w:sz w:val="26"/>
        </w:rPr>
        <w:t>3.2 System Components</w:t>
      </w:r>
    </w:p>
    <w:p>
      <w:pPr>
        <w:spacing w:after="120" w:line="276" w:lineRule="auto"/>
        <w:jc w:val="both"/>
      </w:pPr>
      <w:r>
        <w:rPr>
          <w:rFonts w:ascii="Times New Roman" w:hAnsi="Times New Roman"/>
          <w:b w:val="0"/>
          <w:i w:val="0"/>
          <w:color w:val="000000"/>
          <w:sz w:val="24"/>
        </w:rPr>
        <w:t>The platform comprises seven core functional components:</w:t>
      </w:r>
    </w:p>
    <w:p>
      <w:pPr>
        <w:spacing w:after="80" w:line="276" w:lineRule="auto"/>
        <w:jc w:val="both"/>
      </w:pPr>
      <w:r>
        <w:rPr>
          <w:rFonts w:ascii="Times New Roman" w:hAnsi="Times New Roman"/>
          <w:b w:val="0"/>
          <w:i w:val="0"/>
          <w:color w:val="000000"/>
          <w:sz w:val="24"/>
        </w:rPr>
        <w:t>1. IoT Sensor Telemetry Simulator: Models 10 strategic urban corridors generating 5-minute interval observations (speed, volume, occupancy, density) with realistic diurnal demand curves and manual incident injection capabilities.</w:t>
      </w:r>
    </w:p>
    <w:p>
      <w:pPr>
        <w:spacing w:after="80" w:line="276" w:lineRule="auto"/>
        <w:jc w:val="both"/>
      </w:pPr>
      <w:r>
        <w:rPr>
          <w:rFonts w:ascii="Times New Roman" w:hAnsi="Times New Roman"/>
          <w:b w:val="0"/>
          <w:i w:val="0"/>
          <w:color w:val="000000"/>
          <w:sz w:val="24"/>
        </w:rPr>
        <w:t>2. Asynchronous Ingestion Engine: Built on FastAPI, this module operates an asynchronous event loop executing background streaming cycles at configurable intervals (0.5s to 30.0s).</w:t>
      </w:r>
    </w:p>
    <w:p>
      <w:pPr>
        <w:spacing w:after="80" w:line="276" w:lineRule="auto"/>
        <w:jc w:val="both"/>
      </w:pPr>
      <w:r>
        <w:rPr>
          <w:rFonts w:ascii="Times New Roman" w:hAnsi="Times New Roman"/>
          <w:b w:val="0"/>
          <w:i w:val="0"/>
          <w:color w:val="000000"/>
          <w:sz w:val="24"/>
        </w:rPr>
        <w:t>3. Data Preprocessing &amp; Validation Filter: Enforces strict data quality bounds, checking for non-numeric tokens, negative speeds, and occupancy percentages exceeding physical limits.</w:t>
      </w:r>
    </w:p>
    <w:p>
      <w:pPr>
        <w:spacing w:after="80" w:line="276" w:lineRule="auto"/>
        <w:jc w:val="both"/>
      </w:pPr>
      <w:r>
        <w:rPr>
          <w:rFonts w:ascii="Times New Roman" w:hAnsi="Times New Roman"/>
          <w:b w:val="0"/>
          <w:i w:val="0"/>
          <w:color w:val="000000"/>
          <w:sz w:val="24"/>
        </w:rPr>
        <w:t>4. Chronological Feature Engine: Computes sliding window aggregations, backward temporal lags (t-1, t-2, t-3), 15-minute rolling statistics, and volume-to-capacity proxies without lookahead bias.</w:t>
      </w:r>
    </w:p>
    <w:p>
      <w:pPr>
        <w:spacing w:after="80" w:line="276" w:lineRule="auto"/>
        <w:jc w:val="both"/>
      </w:pPr>
      <w:r>
        <w:rPr>
          <w:rFonts w:ascii="Times New Roman" w:hAnsi="Times New Roman"/>
          <w:b w:val="0"/>
          <w:i w:val="0"/>
          <w:color w:val="000000"/>
          <w:sz w:val="24"/>
        </w:rPr>
        <w:t>5. ML Prediction Service: Houses serialized HistGradientBoosting models executing dual-horizon inference (15-minute classification and 15m/30m continuous speed forecasting).</w:t>
      </w:r>
    </w:p>
    <w:p>
      <w:pPr>
        <w:spacing w:after="80" w:line="276" w:lineRule="auto"/>
        <w:jc w:val="both"/>
      </w:pPr>
      <w:r>
        <w:rPr>
          <w:rFonts w:ascii="Times New Roman" w:hAnsi="Times New Roman"/>
          <w:b w:val="0"/>
          <w:i w:val="0"/>
          <w:color w:val="000000"/>
          <w:sz w:val="24"/>
        </w:rPr>
        <w:t>6. SQLite Storage Layer: Configured in Write-Ahead Logging (WAL) mode with multi-column indexes on (sensor_id, timestamp) for rapid analytical queries.</w:t>
      </w:r>
    </w:p>
    <w:p>
      <w:pPr>
        <w:spacing w:after="80" w:line="276" w:lineRule="auto"/>
        <w:jc w:val="both"/>
      </w:pPr>
      <w:r>
        <w:rPr>
          <w:rFonts w:ascii="Times New Roman" w:hAnsi="Times New Roman"/>
          <w:b w:val="0"/>
          <w:i w:val="0"/>
          <w:color w:val="000000"/>
          <w:sz w:val="24"/>
        </w:rPr>
        <w:t>7. Interactive React Dashboard: A high-aesthetic monitoring interface featuring Leaflet OpenStreetMap GIS, Recharts data visualizations, and live WebSocket streaming.</w:t>
      </w:r>
    </w:p>
    <w:p>
      <w:pPr>
        <w:keepNext/>
        <w:spacing w:before="200" w:after="120"/>
        <w:jc w:val="left"/>
      </w:pPr>
      <w:r>
        <w:rPr>
          <w:rFonts w:ascii="Times New Roman" w:hAnsi="Times New Roman"/>
          <w:b/>
          <w:color w:val="000000"/>
          <w:sz w:val="26"/>
        </w:rPr>
        <w:t>3.3 Feature Engineering Formulas and Mathematical Assumptions</w:t>
      </w:r>
    </w:p>
    <w:p>
      <w:pPr>
        <w:spacing w:after="120" w:line="276" w:lineRule="auto"/>
        <w:jc w:val="both"/>
      </w:pPr>
      <w:r>
        <w:rPr>
          <w:rFonts w:ascii="Times New Roman" w:hAnsi="Times New Roman"/>
          <w:b w:val="0"/>
          <w:i w:val="0"/>
          <w:color w:val="000000"/>
          <w:sz w:val="24"/>
        </w:rPr>
        <w:t>Traffic dynamics are governed by Greenshields fundamental relation tying space mean speed (v in km/h), traffic density (k in veh/km), and flow volume (q in veh/h):</w:t>
      </w:r>
    </w:p>
    <w:p>
      <w:pPr>
        <w:spacing w:after="120" w:line="276" w:lineRule="auto"/>
        <w:jc w:val="center"/>
      </w:pPr>
      <w:r>
        <w:rPr>
          <w:rFonts w:ascii="Times New Roman" w:hAnsi="Times New Roman"/>
          <w:b w:val="0"/>
          <w:i w:val="0"/>
          <w:color w:val="000000"/>
          <w:sz w:val="24"/>
        </w:rPr>
        <w:t>q = k · v                                                                            (3.1)</w:t>
      </w:r>
    </w:p>
    <w:p>
      <w:pPr>
        <w:spacing w:after="120" w:line="276" w:lineRule="auto"/>
        <w:jc w:val="center"/>
      </w:pPr>
      <w:r>
        <w:rPr>
          <w:rFonts w:ascii="Times New Roman" w:hAnsi="Times New Roman"/>
          <w:b w:val="0"/>
          <w:i w:val="0"/>
          <w:color w:val="000000"/>
          <w:sz w:val="24"/>
        </w:rPr>
        <w:t>v = v_f · (1 - k / k_j)                                                     (3.2)</w:t>
      </w:r>
    </w:p>
    <w:p>
      <w:pPr>
        <w:spacing w:after="120" w:line="276" w:lineRule="auto"/>
        <w:jc w:val="both"/>
      </w:pPr>
      <w:r>
        <w:rPr>
          <w:rFonts w:ascii="Times New Roman" w:hAnsi="Times New Roman"/>
          <w:b w:val="0"/>
          <w:i w:val="0"/>
          <w:color w:val="000000"/>
          <w:sz w:val="24"/>
        </w:rPr>
        <w:t>Where v_f is corridor free-flow speed and k_j is jam packing density. Roadway capacity occurs at critical density k_c = k_j / 2, yielding maximum flow q_max = (v_f · k_j) / 4.</w:t>
      </w:r>
    </w:p>
    <w:p>
      <w:pPr>
        <w:spacing w:after="120" w:line="276" w:lineRule="auto"/>
        <w:jc w:val="both"/>
      </w:pPr>
      <w:r>
        <w:rPr>
          <w:rFonts w:ascii="Times New Roman" w:hAnsi="Times New Roman"/>
          <w:b w:val="0"/>
          <w:i w:val="0"/>
          <w:color w:val="000000"/>
          <w:sz w:val="24"/>
        </w:rPr>
        <w:t>Ground-truth congestion states are classified according to Highway Capacity Manual (HCM) Level of Service (LOS) criteria defined in Table 3.1.</w:t>
      </w:r>
    </w:p>
    <w:tbl>
      <w:tblPr>
        <w:tblW w:type="auto" w:w="0"/>
        <w:jc w:val="center"/>
        <w:tblLook w:firstColumn="1" w:firstRow="1" w:lastColumn="0" w:lastRow="0" w:noHBand="0" w:noVBand="1" w:val="04A0"/>
      </w:tblPr>
      <w:tblGrid>
        <w:gridCol w:w="2167"/>
        <w:gridCol w:w="2167"/>
        <w:gridCol w:w="2167"/>
        <w:gridCol w:w="2167"/>
      </w:tblGrid>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Congestion State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HCM Level of Service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Speed Ratio (v / v_limit)</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Road Occupancy (%)</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Free Flow</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LOS A / B</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&gt;= 0.85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&lt; 18.0%</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Moderate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LOS C / D</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0.60 to 0.85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18.0% to 32.0%</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Heavy</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LOS 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0.35 to 0.60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32.0% to 50.0%</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Severe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LOS F (Gridlock)</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&lt; 0.35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&gt;= 50.0%</w:t>
            </w:r>
          </w:p>
        </w:tc>
      </w:tr>
    </w:tbl>
    <w:p>
      <w:pPr>
        <w:spacing w:before="80" w:after="240"/>
        <w:jc w:val="center"/>
      </w:pPr>
      <w:r>
        <w:rPr>
          <w:rFonts w:ascii="Times New Roman" w:hAnsi="Times New Roman"/>
          <w:b/>
          <w:sz w:val="21"/>
        </w:rPr>
        <w:t>Table 3.1: Highway Capacity Manual (HCM) Level of Service (LOS) Boundaries</w:t>
      </w:r>
    </w:p>
    <w:p>
      <w:pPr>
        <w:spacing w:after="120" w:line="276" w:lineRule="auto"/>
        <w:jc w:val="both"/>
      </w:pPr>
      <w:r>
        <w:rPr>
          <w:rFonts w:ascii="Times New Roman" w:hAnsi="Times New Roman"/>
          <w:b w:val="0"/>
          <w:i w:val="0"/>
          <w:color w:val="000000"/>
          <w:sz w:val="24"/>
        </w:rPr>
        <w:t>The 20 engineered feature variables are summarized in Table 3.2. All features are derived strictly from observations at or prior to prediction time t.</w:t>
      </w:r>
    </w:p>
    <w:tbl>
      <w:tblPr>
        <w:tblW w:type="auto" w:w="0"/>
        <w:jc w:val="center"/>
        <w:tblLook w:firstColumn="1" w:firstRow="1" w:lastColumn="0" w:lastRow="0" w:noHBand="0" w:noVBand="1" w:val="04A0"/>
      </w:tblPr>
      <w:tblGrid>
        <w:gridCol w:w="2890"/>
        <w:gridCol w:w="2890"/>
        <w:gridCol w:w="2890"/>
      </w:tblGrid>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Feature Category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Feature Attributes</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Mathematical Purpose &amp; Formula</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Instantaneous Telemetry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v_t, q_t, Occ_t, k_t</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Current space mean speed, volume, loop occupancy, density</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Corridor Normalization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Speed Ratio, V/C Proxy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v_t / v_limit and q_t / (v_limit * 25.0)</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Diurnal Cyclical</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sin_hour, cos_hour, dow</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sin(2π·h/24) and cos(2π·h/24) for midnight continuity</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Temporal Lags</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v_t-1, v_t-2, v_t-3, q_t-1</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Backward 5m, 10m, 15m lags capturing shockwave momentum</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Shockwave &amp; Stability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Speed Drop Rate, Rolling σ</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(v_t-1 - v_t)/max(v_t-1, 10) and 15m rolling std dev</w:t>
            </w:r>
          </w:p>
        </w:tc>
      </w:tr>
    </w:tbl>
    <w:p>
      <w:pPr>
        <w:spacing w:before="80" w:after="240"/>
        <w:jc w:val="center"/>
      </w:pPr>
      <w:r>
        <w:rPr>
          <w:rFonts w:ascii="Times New Roman" w:hAnsi="Times New Roman"/>
          <w:b/>
          <w:sz w:val="21"/>
        </w:rPr>
        <w:t>Table 3.2: Summary of Extracted Feature Attributes and Engineering Purposes</w:t>
      </w:r>
    </w:p>
    <w:p>
      <w:pPr>
        <w:keepNext/>
        <w:spacing w:before="200" w:after="120"/>
        <w:jc w:val="left"/>
      </w:pPr>
      <w:r>
        <w:rPr>
          <w:rFonts w:ascii="Times New Roman" w:hAnsi="Times New Roman"/>
          <w:b/>
          <w:color w:val="000000"/>
          <w:sz w:val="26"/>
        </w:rPr>
        <w:t>3.4 Advantages and Design Considerations</w:t>
      </w:r>
    </w:p>
    <w:p>
      <w:pPr>
        <w:spacing w:after="120" w:line="276" w:lineRule="auto"/>
        <w:jc w:val="both"/>
      </w:pPr>
      <w:r>
        <w:rPr>
          <w:rFonts w:ascii="Times New Roman" w:hAnsi="Times New Roman"/>
          <w:b w:val="0"/>
          <w:i w:val="0"/>
          <w:color w:val="000000"/>
          <w:sz w:val="24"/>
        </w:rPr>
        <w:t>Key design strengths of UrbanFlow AI include:</w:t>
      </w:r>
    </w:p>
    <w:p>
      <w:pPr>
        <w:spacing w:after="80" w:line="276" w:lineRule="auto"/>
        <w:jc w:val="both"/>
      </w:pPr>
      <w:r>
        <w:rPr>
          <w:rFonts w:ascii="Times New Roman" w:hAnsi="Times New Roman"/>
          <w:b w:val="0"/>
          <w:i w:val="0"/>
          <w:color w:val="000000"/>
          <w:sz w:val="24"/>
        </w:rPr>
        <w:t>1. Strict Temporal Leakage Elimination: By employing backward lags exclusively and chronological 80/20 partitioning, all performance metrics represent true operational generalization.</w:t>
      </w:r>
    </w:p>
    <w:p>
      <w:pPr>
        <w:spacing w:after="80" w:line="276" w:lineRule="auto"/>
        <w:jc w:val="both"/>
      </w:pPr>
      <w:r>
        <w:rPr>
          <w:rFonts w:ascii="Times New Roman" w:hAnsi="Times New Roman"/>
          <w:b w:val="0"/>
          <w:i w:val="0"/>
          <w:color w:val="000000"/>
          <w:sz w:val="24"/>
        </w:rPr>
        <w:t>2. Physics-Grounded Realism: Telemetry adheres to Greenshields conservation laws, avoiding arbitrary random number generation.</w:t>
      </w:r>
    </w:p>
    <w:p>
      <w:pPr>
        <w:spacing w:after="80" w:line="276" w:lineRule="auto"/>
        <w:jc w:val="both"/>
      </w:pPr>
      <w:r>
        <w:rPr>
          <w:rFonts w:ascii="Times New Roman" w:hAnsi="Times New Roman"/>
          <w:b w:val="0"/>
          <w:i w:val="0"/>
          <w:color w:val="000000"/>
          <w:sz w:val="24"/>
        </w:rPr>
        <w:t>3. High-Throughput Storage &amp; Concurrency: SQLite WAL mode permits simultaneous multi-client reading and streaming background writes without locking.</w:t>
      </w:r>
    </w:p>
    <w:p>
      <w:pPr>
        <w:spacing w:after="80" w:line="276" w:lineRule="auto"/>
        <w:jc w:val="both"/>
      </w:pPr>
      <w:r>
        <w:rPr>
          <w:rFonts w:ascii="Times New Roman" w:hAnsi="Times New Roman"/>
          <w:b w:val="0"/>
          <w:i w:val="0"/>
          <w:color w:val="000000"/>
          <w:sz w:val="24"/>
        </w:rPr>
        <w:t>4. Sub-Second Operator Interactivity: WebSockets push telemetry updates instantly, providing dynamic incident simulation feedback.</w:t>
      </w:r>
    </w:p>
    <w:p>
      <w:r>
        <w:br w:type="page"/>
      </w:r>
    </w:p>
    <w:p>
      <w:pPr>
        <w:keepNext/>
        <w:spacing w:before="240" w:after="240"/>
        <w:jc w:val="left"/>
      </w:pPr>
      <w:r>
        <w:rPr>
          <w:rFonts w:ascii="Times New Roman" w:hAnsi="Times New Roman"/>
          <w:b/>
          <w:color w:val="000000"/>
          <w:sz w:val="30"/>
        </w:rPr>
        <w:t>CHAPTER 4</w:t>
        <w:br/>
        <w:t>DATA PREPROCESSING AND EDA</w:t>
      </w:r>
    </w:p>
    <w:p>
      <w:pPr>
        <w:keepNext/>
        <w:spacing w:before="200" w:after="120"/>
        <w:jc w:val="left"/>
      </w:pPr>
      <w:r>
        <w:rPr>
          <w:rFonts w:ascii="Times New Roman" w:hAnsi="Times New Roman"/>
          <w:b/>
          <w:color w:val="000000"/>
          <w:sz w:val="26"/>
        </w:rPr>
        <w:t>4.1 Handling Missing Values &amp; Data Quality Inspection</w:t>
      </w:r>
    </w:p>
    <w:p>
      <w:pPr>
        <w:spacing w:after="120" w:line="276" w:lineRule="auto"/>
        <w:jc w:val="both"/>
      </w:pPr>
      <w:r>
        <w:rPr>
          <w:rFonts w:ascii="Times New Roman" w:hAnsi="Times New Roman"/>
          <w:b w:val="0"/>
          <w:i w:val="0"/>
          <w:color w:val="000000"/>
          <w:sz w:val="24"/>
        </w:rPr>
        <w:t>Data preprocessing ensures that erroneous or corrupted sensor readings do not compromise machine learning inference. The raw dataset comprises 40,320 records collected across 10 sensors over 14 consecutive days. Table 4.1 describes the dataset schema.</w:t>
      </w:r>
    </w:p>
    <w:tbl>
      <w:tblPr>
        <w:tblW w:type="auto" w:w="0"/>
        <w:jc w:val="center"/>
        <w:tblLook w:firstColumn="1" w:firstRow="1" w:lastColumn="0" w:lastRow="0" w:noHBand="0" w:noVBand="1" w:val="04A0"/>
      </w:tblPr>
      <w:tblGrid>
        <w:gridCol w:w="2890"/>
        <w:gridCol w:w="2890"/>
        <w:gridCol w:w="2890"/>
      </w:tblGrid>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Field Attribute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Data Type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Physical Units &amp; Domain</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sensor_id</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String / VARCHAR(32)</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Unique sensor identifier (SENSOR-101 .. SENSOR-110)</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timestamp</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Datetime / ISO-8601</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UTC timestamp sampled at 5-minute intervals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average_speed</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Float / REAL</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Space mean speed in km/h (Valid range: 0.0 to 200.0)</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occupancy_rate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Float / REAL</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Loop detector occupancy percentage (0.0% to 100.0%)</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traffic_volume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Integer / INTEGER</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Vehicular hourly flow rate (veh/h)</w:t>
            </w:r>
          </w:p>
        </w:tc>
      </w:tr>
    </w:tbl>
    <w:p>
      <w:pPr>
        <w:spacing w:before="80" w:after="240"/>
        <w:jc w:val="center"/>
      </w:pPr>
      <w:r>
        <w:rPr>
          <w:rFonts w:ascii="Times New Roman" w:hAnsi="Times New Roman"/>
          <w:b/>
          <w:sz w:val="21"/>
        </w:rPr>
        <w:t>Table 4.1: Key Attributes and Schema of the IoT Traffic Telemetry Dataset</w:t>
      </w:r>
    </w:p>
    <w:p>
      <w:pPr>
        <w:spacing w:after="120" w:line="276" w:lineRule="auto"/>
        <w:jc w:val="both"/>
      </w:pPr>
      <w:r>
        <w:rPr>
          <w:rFonts w:ascii="Times New Roman" w:hAnsi="Times New Roman"/>
          <w:b w:val="0"/>
          <w:i w:val="0"/>
          <w:color w:val="000000"/>
          <w:sz w:val="24"/>
        </w:rPr>
        <w:t>During data quality inspection, duplicate timestamps per sensor node were removed. The preprocessing module verified that zero missing values occurred in the primary dataset. Observations violating physical bounds (speeds &lt; 0 or &gt; 200 km/h, occupancy &lt; 0 or &gt; 100%) are tagged as OUT_OF_BOUNDS and excluded from training partitions.</w:t>
      </w:r>
    </w:p>
    <w:p>
      <w:pPr>
        <w:keepNext/>
        <w:spacing w:before="200" w:after="120"/>
        <w:jc w:val="left"/>
      </w:pPr>
      <w:r>
        <w:rPr>
          <w:rFonts w:ascii="Times New Roman" w:hAnsi="Times New Roman"/>
          <w:b/>
          <w:color w:val="000000"/>
          <w:sz w:val="26"/>
        </w:rPr>
        <w:t>4.2 Data Transformation and Feature Engineering</w:t>
      </w:r>
    </w:p>
    <w:p>
      <w:pPr>
        <w:spacing w:after="120" w:line="276" w:lineRule="auto"/>
        <w:jc w:val="both"/>
      </w:pPr>
      <w:r>
        <w:rPr>
          <w:rFonts w:ascii="Times New Roman" w:hAnsi="Times New Roman"/>
          <w:b w:val="0"/>
          <w:i w:val="0"/>
          <w:color w:val="000000"/>
          <w:sz w:val="24"/>
        </w:rPr>
        <w:t>The data preparation pipeline executes eight sequential transformation operations, summarized in Table 4.2.</w:t>
      </w:r>
    </w:p>
    <w:tbl>
      <w:tblPr>
        <w:tblW w:type="auto" w:w="0"/>
        <w:jc w:val="center"/>
        <w:tblLook w:firstColumn="1" w:firstRow="1" w:lastColumn="0" w:lastRow="0" w:noHBand="0" w:noVBand="1" w:val="04A0"/>
      </w:tblPr>
      <w:tblGrid>
        <w:gridCol w:w="2890"/>
        <w:gridCol w:w="2890"/>
        <w:gridCol w:w="2890"/>
      </w:tblGrid>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Processing Stage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Operation Performed</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Analytical Purpose</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Timestamp Parsing</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Conversion to ISO-8601 &amp; chronological sorting</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Ensures chronological ordering per sensor node</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Quality Filtering</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Validation of speed, volume, and occupancy bounds</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Prevents corrupted sensor readings from entering model</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Cyclical Transformation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Computation of sin(2πh/24) and cos(2πh/24)</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Encodes diurnal time smoothly across midnight</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Lag Generation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Backward shifting (t-1, t-2, t-3) per sensor</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Captures temporal momentum without lookahead bias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Rolling Aggregation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15-minute moving average and moving std dev</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Quantifies localized flow stability and shockwaves</w:t>
            </w:r>
          </w:p>
        </w:tc>
      </w:tr>
    </w:tbl>
    <w:p>
      <w:pPr>
        <w:spacing w:before="80" w:after="240"/>
        <w:jc w:val="center"/>
      </w:pPr>
      <w:r>
        <w:rPr>
          <w:rFonts w:ascii="Times New Roman" w:hAnsi="Times New Roman"/>
          <w:b/>
          <w:sz w:val="21"/>
        </w:rPr>
        <w:t>Table 4.2: Summary of Data Preprocessing and Feature Preparation Stages</w:t>
      </w:r>
    </w:p>
    <w:p>
      <w:pPr>
        <w:keepNext/>
        <w:spacing w:before="200" w:after="120"/>
        <w:jc w:val="left"/>
      </w:pPr>
      <w:r>
        <w:rPr>
          <w:rFonts w:ascii="Times New Roman" w:hAnsi="Times New Roman"/>
          <w:b/>
          <w:color w:val="000000"/>
          <w:sz w:val="26"/>
        </w:rPr>
        <w:t>4.3 Exploratory Data Analysis</w:t>
      </w:r>
    </w:p>
    <w:p>
      <w:pPr>
        <w:spacing w:after="120" w:line="276" w:lineRule="auto"/>
        <w:jc w:val="both"/>
      </w:pPr>
      <w:r>
        <w:rPr>
          <w:rFonts w:ascii="Times New Roman" w:hAnsi="Times New Roman"/>
          <w:b w:val="0"/>
          <w:i w:val="0"/>
          <w:color w:val="000000"/>
          <w:sz w:val="24"/>
        </w:rPr>
        <w:t>Exploratory Data Analysis examines empirical distributions and physical flow relationships across the 40,320 observations.</w:t>
      </w:r>
    </w:p>
    <w:p>
      <w:pPr>
        <w:keepNext/>
        <w:spacing w:before="160" w:after="80"/>
        <w:jc w:val="left"/>
      </w:pPr>
      <w:r>
        <w:rPr>
          <w:rFonts w:ascii="Times New Roman" w:hAnsi="Times New Roman"/>
          <w:b/>
          <w:color w:val="000000"/>
          <w:sz w:val="24"/>
        </w:rPr>
        <w:t>4.3.1 Traffic Speed Distribution</w:t>
      </w:r>
    </w:p>
    <w:p>
      <w:pPr>
        <w:spacing w:after="120" w:line="276" w:lineRule="auto"/>
        <w:jc w:val="both"/>
      </w:pPr>
      <w:r>
        <w:rPr>
          <w:rFonts w:ascii="Times New Roman" w:hAnsi="Times New Roman"/>
          <w:b w:val="0"/>
          <w:i w:val="0"/>
          <w:color w:val="000000"/>
          <w:sz w:val="24"/>
        </w:rPr>
        <w:t>Figure 4.1 displays the frequency distribution of space mean speeds across the 10 monitored corridors. The mean speed is 57.88 km/h, and the median is 52.85 km/h, exhibiting a bimodal profile that reflects free-flow and congested operating regimes.</w:t>
      </w:r>
    </w:p>
    <w:p>
      <w:pPr>
        <w:spacing w:before="160" w:after="8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traffic_speed_distribution.png"/>
                    <pic:cNvPicPr/>
                  </pic:nvPicPr>
                  <pic:blipFill>
                    <a:blip r:embed="rId12"/>
                    <a:stretch>
                      <a:fillRect/>
                    </a:stretch>
                  </pic:blipFill>
                  <pic:spPr>
                    <a:xfrm>
                      <a:off x="0" y="0"/>
                      <a:ext cx="5120640" cy="3200400"/>
                    </a:xfrm>
                    <a:prstGeom prst="rect"/>
                  </pic:spPr>
                </pic:pic>
              </a:graphicData>
            </a:graphic>
          </wp:inline>
        </w:drawing>
      </w:r>
    </w:p>
    <w:p>
      <w:pPr>
        <w:keepNext/>
        <w:spacing w:before="40" w:after="200"/>
        <w:jc w:val="center"/>
      </w:pPr>
      <w:r>
        <w:rPr>
          <w:rFonts w:ascii="Times New Roman" w:hAnsi="Times New Roman"/>
          <w:b/>
          <w:sz w:val="21"/>
        </w:rPr>
        <w:t>Figure 4.1: Distribution of Space Mean Speed Across Urban Sensor Network</w:t>
      </w:r>
    </w:p>
    <w:p>
      <w:pPr>
        <w:keepNext/>
        <w:spacing w:before="160" w:after="80"/>
        <w:jc w:val="left"/>
      </w:pPr>
      <w:r>
        <w:rPr>
          <w:rFonts w:ascii="Times New Roman" w:hAnsi="Times New Roman"/>
          <w:b/>
          <w:color w:val="000000"/>
          <w:sz w:val="24"/>
        </w:rPr>
        <w:t>4.3.2 Diurnal Traffic Dynamics</w:t>
      </w:r>
    </w:p>
    <w:p>
      <w:pPr>
        <w:spacing w:after="120" w:line="276" w:lineRule="auto"/>
        <w:jc w:val="both"/>
      </w:pPr>
      <w:r>
        <w:rPr>
          <w:rFonts w:ascii="Times New Roman" w:hAnsi="Times New Roman"/>
          <w:b w:val="0"/>
          <w:i w:val="0"/>
          <w:color w:val="000000"/>
          <w:sz w:val="24"/>
        </w:rPr>
        <w:t>Figure 4.2 plots average hourly speed against vehicle volume across the 24-hour diurnal cycle. Noticeable speed drops occur during the morning rush (07:30–09:30) and evening peak (16:30–19:30), reflecting the inverse relationship between volume and speed.</w:t>
      </w:r>
    </w:p>
    <w:p>
      <w:pPr>
        <w:spacing w:before="160" w:after="80"/>
        <w:jc w:val="center"/>
      </w:pPr>
      <w:r>
        <w:drawing>
          <wp:inline xmlns:a="http://schemas.openxmlformats.org/drawingml/2006/main" xmlns:pic="http://schemas.openxmlformats.org/drawingml/2006/picture">
            <wp:extent cx="5120640" cy="2560320"/>
            <wp:docPr id="5" name="Picture 5"/>
            <wp:cNvGraphicFramePr>
              <a:graphicFrameLocks noChangeAspect="1"/>
            </wp:cNvGraphicFramePr>
            <a:graphic>
              <a:graphicData uri="http://schemas.openxmlformats.org/drawingml/2006/picture">
                <pic:pic>
                  <pic:nvPicPr>
                    <pic:cNvPr id="0" name="hourly_traffic_patterns.png"/>
                    <pic:cNvPicPr/>
                  </pic:nvPicPr>
                  <pic:blipFill>
                    <a:blip r:embed="rId13"/>
                    <a:stretch>
                      <a:fillRect/>
                    </a:stretch>
                  </pic:blipFill>
                  <pic:spPr>
                    <a:xfrm>
                      <a:off x="0" y="0"/>
                      <a:ext cx="5120640" cy="2560320"/>
                    </a:xfrm>
                    <a:prstGeom prst="rect"/>
                  </pic:spPr>
                </pic:pic>
              </a:graphicData>
            </a:graphic>
          </wp:inline>
        </w:drawing>
      </w:r>
    </w:p>
    <w:p>
      <w:pPr>
        <w:keepNext/>
        <w:spacing w:before="40" w:after="200"/>
        <w:jc w:val="center"/>
      </w:pPr>
      <w:r>
        <w:rPr>
          <w:rFonts w:ascii="Times New Roman" w:hAnsi="Times New Roman"/>
          <w:b/>
          <w:sz w:val="21"/>
        </w:rPr>
        <w:t>Figure 4.2: Diurnal Traffic Dynamics: Inverse Relationship Between Volume and Speed</w:t>
      </w:r>
    </w:p>
    <w:p>
      <w:pPr>
        <w:keepNext/>
        <w:spacing w:before="160" w:after="80"/>
        <w:jc w:val="left"/>
      </w:pPr>
      <w:r>
        <w:rPr>
          <w:rFonts w:ascii="Times New Roman" w:hAnsi="Times New Roman"/>
          <w:b/>
          <w:color w:val="000000"/>
          <w:sz w:val="24"/>
        </w:rPr>
        <w:t>4.3.3 Greenshields Fundamental Diagram</w:t>
      </w:r>
    </w:p>
    <w:p>
      <w:pPr>
        <w:spacing w:after="120" w:line="276" w:lineRule="auto"/>
        <w:jc w:val="both"/>
      </w:pPr>
      <w:r>
        <w:rPr>
          <w:rFonts w:ascii="Times New Roman" w:hAnsi="Times New Roman"/>
          <w:b w:val="0"/>
          <w:i w:val="0"/>
          <w:color w:val="000000"/>
          <w:sz w:val="24"/>
        </w:rPr>
        <w:t>Figure 4.3 illustrates the empirical scatter plot of space mean speed versus traffic density, color-coded by traffic volume flow. The scatter conforms to Greenshields parabolic flow relation, clearly identifying critical density k_c near 50 veh/km.</w:t>
      </w:r>
    </w:p>
    <w:p>
      <w:pPr>
        <w:spacing w:before="160" w:after="80"/>
        <w:jc w:val="center"/>
      </w:pPr>
      <w:r>
        <w:drawing>
          <wp:inline xmlns:a="http://schemas.openxmlformats.org/drawingml/2006/main" xmlns:pic="http://schemas.openxmlformats.org/drawingml/2006/picture">
            <wp:extent cx="5120640" cy="3840480"/>
            <wp:docPr id="6" name="Picture 6"/>
            <wp:cNvGraphicFramePr>
              <a:graphicFrameLocks noChangeAspect="1"/>
            </wp:cNvGraphicFramePr>
            <a:graphic>
              <a:graphicData uri="http://schemas.openxmlformats.org/drawingml/2006/picture">
                <pic:pic>
                  <pic:nvPicPr>
                    <pic:cNvPr id="0" name="speed_vs_volume_fundamental_diagram.png"/>
                    <pic:cNvPicPr/>
                  </pic:nvPicPr>
                  <pic:blipFill>
                    <a:blip r:embed="rId14"/>
                    <a:stretch>
                      <a:fillRect/>
                    </a:stretch>
                  </pic:blipFill>
                  <pic:spPr>
                    <a:xfrm>
                      <a:off x="0" y="0"/>
                      <a:ext cx="5120640" cy="3840480"/>
                    </a:xfrm>
                    <a:prstGeom prst="rect"/>
                  </pic:spPr>
                </pic:pic>
              </a:graphicData>
            </a:graphic>
          </wp:inline>
        </w:drawing>
      </w:r>
    </w:p>
    <w:p>
      <w:pPr>
        <w:keepNext/>
        <w:spacing w:before="40" w:after="200"/>
        <w:jc w:val="center"/>
      </w:pPr>
      <w:r>
        <w:rPr>
          <w:rFonts w:ascii="Times New Roman" w:hAnsi="Times New Roman"/>
          <w:b/>
          <w:sz w:val="21"/>
        </w:rPr>
        <w:t>Figure 4.3: Greenshields Fundamental Diagram: Space Mean Speed vs Traffic Density</w:t>
      </w:r>
    </w:p>
    <w:p>
      <w:pPr>
        <w:keepNext/>
        <w:spacing w:before="160" w:after="80"/>
        <w:jc w:val="left"/>
      </w:pPr>
      <w:r>
        <w:rPr>
          <w:rFonts w:ascii="Times New Roman" w:hAnsi="Times New Roman"/>
          <w:b/>
          <w:color w:val="000000"/>
          <w:sz w:val="24"/>
        </w:rPr>
        <w:t>4.3.4 Congestion Level Distribution</w:t>
      </w:r>
    </w:p>
    <w:p>
      <w:pPr>
        <w:spacing w:after="120" w:line="276" w:lineRule="auto"/>
        <w:jc w:val="both"/>
      </w:pPr>
      <w:r>
        <w:rPr>
          <w:rFonts w:ascii="Times New Roman" w:hAnsi="Times New Roman"/>
          <w:b w:val="0"/>
          <w:i w:val="0"/>
          <w:color w:val="000000"/>
          <w:sz w:val="24"/>
        </w:rPr>
        <w:t>Figure 4.4 illustrates the distribution of ground-truth Level of Service categories across the dataset. Free Flow represents 59.8% (24,103 records), Moderate accounts for 34.8% (14,028 records), Heavy represents 5.0% (2,016 records), and Severe gridlock accounts for 0.4% (173 records).</w:t>
      </w:r>
    </w:p>
    <w:p>
      <w:pPr>
        <w:spacing w:before="160" w:after="80"/>
        <w:jc w:val="center"/>
      </w:pPr>
      <w:r>
        <w:drawing>
          <wp:inline xmlns:a="http://schemas.openxmlformats.org/drawingml/2006/main" xmlns:pic="http://schemas.openxmlformats.org/drawingml/2006/picture">
            <wp:extent cx="4937760" cy="3526971"/>
            <wp:docPr id="7" name="Picture 7"/>
            <wp:cNvGraphicFramePr>
              <a:graphicFrameLocks noChangeAspect="1"/>
            </wp:cNvGraphicFramePr>
            <a:graphic>
              <a:graphicData uri="http://schemas.openxmlformats.org/drawingml/2006/picture">
                <pic:pic>
                  <pic:nvPicPr>
                    <pic:cNvPr id="0" name="congestion_level_distribution.png"/>
                    <pic:cNvPicPr/>
                  </pic:nvPicPr>
                  <pic:blipFill>
                    <a:blip r:embed="rId15"/>
                    <a:stretch>
                      <a:fillRect/>
                    </a:stretch>
                  </pic:blipFill>
                  <pic:spPr>
                    <a:xfrm>
                      <a:off x="0" y="0"/>
                      <a:ext cx="4937760" cy="3526971"/>
                    </a:xfrm>
                    <a:prstGeom prst="rect"/>
                  </pic:spPr>
                </pic:pic>
              </a:graphicData>
            </a:graphic>
          </wp:inline>
        </w:drawing>
      </w:r>
    </w:p>
    <w:p>
      <w:pPr>
        <w:keepNext/>
        <w:spacing w:before="40" w:after="200"/>
        <w:jc w:val="center"/>
      </w:pPr>
      <w:r>
        <w:rPr>
          <w:rFonts w:ascii="Times New Roman" w:hAnsi="Times New Roman"/>
          <w:b/>
          <w:sz w:val="21"/>
        </w:rPr>
        <w:t>Figure 4.4: Ground-Truth HCM Level of Service (LOS) Congestion Distribution</w:t>
      </w:r>
    </w:p>
    <w:p>
      <w:pPr>
        <w:keepNext/>
        <w:spacing w:before="200" w:after="120"/>
        <w:jc w:val="left"/>
      </w:pPr>
      <w:r>
        <w:rPr>
          <w:rFonts w:ascii="Times New Roman" w:hAnsi="Times New Roman"/>
          <w:b/>
          <w:color w:val="000000"/>
          <w:sz w:val="26"/>
        </w:rPr>
        <w:t>4.4 Descriptive Statistics</w:t>
      </w:r>
    </w:p>
    <w:p>
      <w:pPr>
        <w:spacing w:after="120" w:line="276" w:lineRule="auto"/>
        <w:jc w:val="both"/>
      </w:pPr>
      <w:r>
        <w:rPr>
          <w:rFonts w:ascii="Times New Roman" w:hAnsi="Times New Roman"/>
          <w:b w:val="0"/>
          <w:i w:val="0"/>
          <w:color w:val="000000"/>
          <w:sz w:val="24"/>
        </w:rPr>
        <w:t>Table 4.3 details the distribution of congestion categories across the 40,320 observations.</w:t>
      </w:r>
    </w:p>
    <w:tbl>
      <w:tblPr>
        <w:tblW w:type="auto" w:w="0"/>
        <w:jc w:val="center"/>
        <w:tblLook w:firstColumn="1" w:firstRow="1" w:lastColumn="0" w:lastRow="0" w:noHBand="0" w:noVBand="1" w:val="04A0"/>
      </w:tblPr>
      <w:tblGrid>
        <w:gridCol w:w="2890"/>
        <w:gridCol w:w="2890"/>
        <w:gridCol w:w="2890"/>
      </w:tblGrid>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Congestion Category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Observation Count (5m Intervals)</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Percentage Share (%)</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Free Flow</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24,103</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59.8%</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Moderate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14,028</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34.8%</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Heavy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2,016</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5.0%</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Severe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173</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0.4%</w:t>
            </w:r>
          </w:p>
        </w:tc>
      </w:tr>
    </w:tbl>
    <w:p>
      <w:pPr>
        <w:spacing w:before="80" w:after="240"/>
        <w:jc w:val="center"/>
      </w:pPr>
      <w:r>
        <w:rPr>
          <w:rFonts w:ascii="Times New Roman" w:hAnsi="Times New Roman"/>
          <w:b/>
          <w:sz w:val="21"/>
        </w:rPr>
        <w:t>Table 4.3: Distribution of Ground-Truth HCM Congestion Level Categories</w:t>
      </w:r>
    </w:p>
    <w:p>
      <w:pPr>
        <w:spacing w:after="120" w:line="276" w:lineRule="auto"/>
        <w:jc w:val="both"/>
      </w:pPr>
      <w:r>
        <w:rPr>
          <w:rFonts w:ascii="Times New Roman" w:hAnsi="Times New Roman"/>
          <w:b w:val="0"/>
          <w:i w:val="0"/>
          <w:color w:val="000000"/>
          <w:sz w:val="24"/>
        </w:rPr>
        <w:t>Table 4.4 summarizes the geographical coordinates, speed limits, and capacities of the 10 monitored sensor corridors.</w:t>
      </w:r>
    </w:p>
    <w:tbl>
      <w:tblPr>
        <w:tblW w:type="auto" w:w="0"/>
        <w:jc w:val="center"/>
        <w:tblLook w:firstColumn="1" w:firstRow="1" w:lastColumn="0" w:lastRow="0" w:noHBand="0" w:noVBand="1" w:val="04A0"/>
      </w:tblPr>
      <w:tblGrid>
        <w:gridCol w:w="2167"/>
        <w:gridCol w:w="2167"/>
        <w:gridCol w:w="2167"/>
        <w:gridCol w:w="2167"/>
      </w:tblGrid>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Sensor ID</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Corridor Road Name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Speed Limit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Design Capacity (veh/h)</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SENSOR-101</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North Interstate Expressway</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100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2,200 veh/h</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SENSOR-102</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Central Downtown Arterial</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50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1,200 veh/h</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SENSOR-103</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Harbor Bay Bridge Approach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80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2,000 veh/h</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SENSOR-105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Tech Hub Boulevard</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60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1,500 veh/h</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SENSOR-107</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Airport Link Freeway</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110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2,400 veh/h</w:t>
            </w:r>
          </w:p>
        </w:tc>
      </w:tr>
    </w:tbl>
    <w:p>
      <w:pPr>
        <w:spacing w:before="80" w:after="240"/>
        <w:jc w:val="center"/>
      </w:pPr>
      <w:r>
        <w:rPr>
          <w:rFonts w:ascii="Times New Roman" w:hAnsi="Times New Roman"/>
          <w:b/>
          <w:sz w:val="21"/>
        </w:rPr>
        <w:t>Table 4.4: Monitored Sensor Corridor Topology and Structural Specifications</w:t>
      </w:r>
    </w:p>
    <w:p>
      <w:pPr>
        <w:spacing w:after="120" w:line="276" w:lineRule="auto"/>
        <w:jc w:val="both"/>
      </w:pPr>
      <w:r>
        <w:rPr>
          <w:rFonts w:ascii="Times New Roman" w:hAnsi="Times New Roman"/>
          <w:b w:val="0"/>
          <w:i w:val="0"/>
          <w:color w:val="000000"/>
          <w:sz w:val="24"/>
        </w:rPr>
        <w:t>Figure 4.5 maps the spatial distribution of the 10 sensor nodes across the metropolitan arterial grid.</w:t>
      </w:r>
    </w:p>
    <w:p>
      <w:pPr>
        <w:spacing w:before="160" w:after="80"/>
        <w:jc w:val="center"/>
      </w:pPr>
      <w:r>
        <w:drawing>
          <wp:inline xmlns:a="http://schemas.openxmlformats.org/drawingml/2006/main" xmlns:pic="http://schemas.openxmlformats.org/drawingml/2006/picture">
            <wp:extent cx="5120640" cy="3663514"/>
            <wp:docPr id="8" name="Picture 8"/>
            <wp:cNvGraphicFramePr>
              <a:graphicFrameLocks noChangeAspect="1"/>
            </wp:cNvGraphicFramePr>
            <a:graphic>
              <a:graphicData uri="http://schemas.openxmlformats.org/drawingml/2006/picture">
                <pic:pic>
                  <pic:nvPicPr>
                    <pic:cNvPr id="0" name="sensor_geographic_topology.png"/>
                    <pic:cNvPicPr/>
                  </pic:nvPicPr>
                  <pic:blipFill>
                    <a:blip r:embed="rId16"/>
                    <a:stretch>
                      <a:fillRect/>
                    </a:stretch>
                  </pic:blipFill>
                  <pic:spPr>
                    <a:xfrm>
                      <a:off x="0" y="0"/>
                      <a:ext cx="5120640" cy="3663514"/>
                    </a:xfrm>
                    <a:prstGeom prst="rect"/>
                  </pic:spPr>
                </pic:pic>
              </a:graphicData>
            </a:graphic>
          </wp:inline>
        </w:drawing>
      </w:r>
    </w:p>
    <w:p>
      <w:pPr>
        <w:keepNext/>
        <w:spacing w:before="40" w:after="200"/>
        <w:jc w:val="center"/>
      </w:pPr>
      <w:r>
        <w:rPr>
          <w:rFonts w:ascii="Times New Roman" w:hAnsi="Times New Roman"/>
          <w:b/>
          <w:sz w:val="21"/>
        </w:rPr>
        <w:t>Figure 4.5: Geographic Sensor Node Topology Across Metropolitan Corridor</w:t>
      </w:r>
    </w:p>
    <w:p>
      <w:pPr>
        <w:spacing w:after="120" w:line="276" w:lineRule="auto"/>
        <w:jc w:val="both"/>
      </w:pPr>
      <w:r>
        <w:rPr>
          <w:rFonts w:ascii="Times New Roman" w:hAnsi="Times New Roman"/>
          <w:b w:val="0"/>
          <w:i w:val="0"/>
          <w:color w:val="000000"/>
          <w:sz w:val="24"/>
        </w:rPr>
        <w:t>Table 4.5 presents descriptive statistical summaries for all continuous telemetry variables across the 40,320 observations.</w:t>
      </w:r>
    </w:p>
    <w:tbl>
      <w:tblPr>
        <w:tblW w:type="auto" w:w="0"/>
        <w:jc w:val="center"/>
        <w:tblLook w:firstColumn="1" w:firstRow="1" w:lastColumn="0" w:lastRow="0" w:noHBand="0" w:noVBand="1" w:val="04A0"/>
      </w:tblPr>
      <w:tblGrid>
        <w:gridCol w:w="1445"/>
        <w:gridCol w:w="1445"/>
        <w:gridCol w:w="1445"/>
        <w:gridCol w:w="1445"/>
        <w:gridCol w:w="1445"/>
        <w:gridCol w:w="1445"/>
      </w:tblGrid>
      <w:tr>
        <w:trPr>
          <w:cantSplit/>
        </w:trPr>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Telemetry Variable</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Mean</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Std Dev</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Min</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Median</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Max</w:t>
            </w:r>
          </w:p>
        </w:tc>
      </w:tr>
      <w:tr>
        <w:trPr>
          <w:cantSplit/>
        </w:trPr>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Space Mean Speed (km/h)</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57.88</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22.30</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6.00</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52.85</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117.27</w:t>
            </w:r>
          </w:p>
        </w:tc>
      </w:tr>
      <w:tr>
        <w:trPr>
          <w:cantSplit/>
        </w:trPr>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Traffic Volume Flow (veh/h)</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892.90</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699.98</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64.00</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693.50</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3,000.00</w:t>
            </w:r>
          </w:p>
        </w:tc>
      </w:tr>
      <w:tr>
        <w:trPr>
          <w:cantSplit/>
        </w:trPr>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Road Occupancy Rate (%)</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16.24</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11.85</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2.00</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13.46</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98.00</w:t>
            </w:r>
          </w:p>
        </w:tc>
      </w:tr>
      <w:tr>
        <w:trPr>
          <w:cantSplit/>
        </w:trPr>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Traffic Density (veh/km)</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16.59</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12.34</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1.76</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13.73</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88.23</w:t>
            </w:r>
          </w:p>
        </w:tc>
      </w:tr>
      <w:tr>
        <w:trPr>
          <w:cantSplit/>
        </w:trPr>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5-Minute Vehicle Count</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74.41</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58.33</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58</w:t>
            </w:r>
          </w:p>
        </w:tc>
        <w:tc>
          <w:tcPr>
            <w:tcW w:type="dxa" w:w="1445"/>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250</w:t>
            </w:r>
          </w:p>
        </w:tc>
      </w:tr>
    </w:tbl>
    <w:p>
      <w:pPr>
        <w:spacing w:before="80" w:after="240"/>
        <w:jc w:val="center"/>
      </w:pPr>
      <w:r>
        <w:rPr>
          <w:rFonts w:ascii="Times New Roman" w:hAnsi="Times New Roman"/>
          <w:b/>
          <w:sz w:val="21"/>
        </w:rPr>
        <w:t>Table 4.5: Descriptive Statistics of Numerical Telemetry Attributes (n = 40,320)</w:t>
      </w:r>
    </w:p>
    <w:p>
      <w:pPr>
        <w:keepNext/>
        <w:spacing w:before="200" w:after="120"/>
        <w:jc w:val="left"/>
      </w:pPr>
      <w:r>
        <w:rPr>
          <w:rFonts w:ascii="Times New Roman" w:hAnsi="Times New Roman"/>
          <w:b/>
          <w:color w:val="000000"/>
          <w:sz w:val="26"/>
        </w:rPr>
        <w:t>4.5 Correlation Analysis</w:t>
      </w:r>
    </w:p>
    <w:p>
      <w:pPr>
        <w:spacing w:after="120" w:line="276" w:lineRule="auto"/>
        <w:jc w:val="both"/>
      </w:pPr>
      <w:r>
        <w:rPr>
          <w:rFonts w:ascii="Times New Roman" w:hAnsi="Times New Roman"/>
          <w:b w:val="0"/>
          <w:i w:val="0"/>
          <w:color w:val="000000"/>
          <w:sz w:val="24"/>
        </w:rPr>
        <w:t>Pearson correlation coefficients reveal a strong negative correlation between average speed and road occupancy (r = -0.78), corroborating Greenshields deceleration hypothesis. Traffic density and flow volume exhibit positive correlation in uncongested regimes (r = +0.82) but diverge during oversaturated breakdown. These relationships confirm that multi-variable feature vectors provide superior predictive signals over single-speed persistence.</w:t>
      </w:r>
    </w:p>
    <w:p>
      <w:r>
        <w:br w:type="page"/>
      </w:r>
    </w:p>
    <w:p>
      <w:pPr>
        <w:keepNext/>
        <w:spacing w:before="240" w:after="240"/>
        <w:jc w:val="left"/>
      </w:pPr>
      <w:r>
        <w:rPr>
          <w:rFonts w:ascii="Times New Roman" w:hAnsi="Times New Roman"/>
          <w:b/>
          <w:color w:val="000000"/>
          <w:sz w:val="30"/>
        </w:rPr>
        <w:t>CHAPTER 5</w:t>
        <w:br/>
        <w:t>DATA ANALYSIS AND IMPLEMENTATION</w:t>
      </w:r>
    </w:p>
    <w:p>
      <w:pPr>
        <w:keepNext/>
        <w:spacing w:before="200" w:after="120"/>
        <w:jc w:val="left"/>
      </w:pPr>
      <w:r>
        <w:rPr>
          <w:rFonts w:ascii="Times New Roman" w:hAnsi="Times New Roman"/>
          <w:b/>
          <w:color w:val="000000"/>
          <w:sz w:val="26"/>
        </w:rPr>
        <w:t>5.1 Tools and Technologies Used</w:t>
      </w:r>
    </w:p>
    <w:p>
      <w:pPr>
        <w:spacing w:after="120" w:line="276" w:lineRule="auto"/>
        <w:jc w:val="both"/>
      </w:pPr>
      <w:r>
        <w:rPr>
          <w:rFonts w:ascii="Times New Roman" w:hAnsi="Times New Roman"/>
          <w:b w:val="0"/>
          <w:i w:val="0"/>
          <w:color w:val="000000"/>
          <w:sz w:val="24"/>
        </w:rPr>
        <w:t>UrbanFlow AI is developed in Python 3.11 for the backend streaming and machine learning pipelines, coupled with React 18 and TypeScript for the web presentation tier. Table 5.1 outlines the primary technologies and their operational roles.</w:t>
      </w:r>
    </w:p>
    <w:tbl>
      <w:tblPr>
        <w:tblW w:type="auto" w:w="0"/>
        <w:jc w:val="center"/>
        <w:tblLook w:firstColumn="1" w:firstRow="1" w:lastColumn="0" w:lastRow="0" w:noHBand="0" w:noVBand="1" w:val="04A0"/>
      </w:tblPr>
      <w:tblGrid>
        <w:gridCol w:w="2890"/>
        <w:gridCol w:w="2890"/>
        <w:gridCol w:w="2890"/>
      </w:tblGrid>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Technology / Library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Version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Operational Implementation Purpose</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FastAPI &amp; Uvicorn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0.104.1 / 0.24.0</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Asynchronous ASGI REST API &amp; native WebSocket broadcasting bus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Scikit-Learn &amp; Joblib</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1.7.2 / 1.5.2</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HistGradientBoosting Classifier and Regressor training and serialization</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Pandas &amp; NumPy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2.3.3 / 2.3.4</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Vectorized feature engineering, temporal lag computation, and rolling windows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SQLite 3 (WAL Mode)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Embedded</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Zero-configuration local storage with Write-Ahead Logging concurrency</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React 18 &amp; Vite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18.2.0 / 5.4.21</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Single-Page Application frontend with Leaflet OpenStreetMap and Recharts</w:t>
            </w:r>
          </w:p>
        </w:tc>
      </w:tr>
    </w:tbl>
    <w:p>
      <w:pPr>
        <w:spacing w:before="80" w:after="240"/>
        <w:jc w:val="center"/>
      </w:pPr>
      <w:r>
        <w:rPr>
          <w:rFonts w:ascii="Times New Roman" w:hAnsi="Times New Roman"/>
          <w:b/>
          <w:sz w:val="21"/>
        </w:rPr>
        <w:t>Table 5.1: Tools, Libraries, and Implementation Technologies Used</w:t>
      </w:r>
    </w:p>
    <w:p>
      <w:pPr>
        <w:keepNext/>
        <w:spacing w:before="200" w:after="120"/>
        <w:jc w:val="left"/>
      </w:pPr>
      <w:r>
        <w:rPr>
          <w:rFonts w:ascii="Times New Roman" w:hAnsi="Times New Roman"/>
          <w:b/>
          <w:color w:val="000000"/>
          <w:sz w:val="26"/>
        </w:rPr>
        <w:t>5.2 Python &amp; Backend Implementation</w:t>
      </w:r>
    </w:p>
    <w:p>
      <w:pPr>
        <w:spacing w:after="120" w:line="276" w:lineRule="auto"/>
        <w:jc w:val="both"/>
      </w:pPr>
      <w:r>
        <w:rPr>
          <w:rFonts w:ascii="Times New Roman" w:hAnsi="Times New Roman"/>
          <w:b w:val="0"/>
          <w:i w:val="0"/>
          <w:color w:val="000000"/>
          <w:sz w:val="24"/>
        </w:rPr>
        <w:t>The backend is structured into modular subsystems organized by functional responsibility, as summarized in Table 5.2.</w:t>
      </w:r>
    </w:p>
    <w:tbl>
      <w:tblPr>
        <w:tblW w:type="auto" w:w="0"/>
        <w:jc w:val="center"/>
        <w:tblLook w:firstColumn="1" w:firstRow="1" w:lastColumn="0" w:lastRow="0" w:noHBand="0" w:noVBand="1" w:val="04A0"/>
      </w:tblPr>
      <w:tblGrid>
        <w:gridCol w:w="2890"/>
        <w:gridCol w:w="2890"/>
        <w:gridCol w:w="2890"/>
      </w:tblGrid>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Software Module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File Location</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Primary Architectural Responsibility</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API Routing</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backend/api/routes.py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Implements 11 REST endpoints for KPIs, sensors, history, and predictions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WebSocket Manager</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backend/api/websocket.py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Tracks active client connections and broadcasts sub-second JSON packets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Streaming Engine</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backend/streaming/engine.py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Runs asynchronous background event loop ingesting sensor telemetry every 3s</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Sensor Simulator</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backend/streaming/sensor_simulator.py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Generates Greenshields physics telemetry with dynamic incident injection</w:t>
            </w:r>
          </w:p>
        </w:tc>
      </w:tr>
      <w:tr>
        <w:trPr>
          <w:cantSplit/>
        </w:trPr>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Database CRUD</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backend/database/crud.py</w:t>
            </w:r>
          </w:p>
        </w:tc>
        <w:tc>
          <w:tcPr>
            <w:tcW w:type="dxa" w:w="2890"/>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Executes parameterized SQLite queries with multi-column indexing</w:t>
            </w:r>
          </w:p>
        </w:tc>
      </w:tr>
    </w:tbl>
    <w:p>
      <w:pPr>
        <w:spacing w:before="80" w:after="240"/>
        <w:jc w:val="center"/>
      </w:pPr>
      <w:r>
        <w:rPr>
          <w:rFonts w:ascii="Times New Roman" w:hAnsi="Times New Roman"/>
          <w:b/>
          <w:sz w:val="21"/>
        </w:rPr>
        <w:t>Table 5.2: System Modules and Component Responsibilities</w:t>
      </w:r>
    </w:p>
    <w:p>
      <w:pPr>
        <w:keepNext/>
        <w:spacing w:before="200" w:after="120"/>
        <w:jc w:val="left"/>
      </w:pPr>
      <w:r>
        <w:rPr>
          <w:rFonts w:ascii="Times New Roman" w:hAnsi="Times New Roman"/>
          <w:b/>
          <w:color w:val="000000"/>
          <w:sz w:val="26"/>
        </w:rPr>
        <w:t>5.3 Machine Learning Classification and Forecasting Models</w:t>
      </w:r>
    </w:p>
    <w:p>
      <w:pPr>
        <w:spacing w:after="120" w:line="276" w:lineRule="auto"/>
        <w:jc w:val="both"/>
      </w:pPr>
      <w:r>
        <w:rPr>
          <w:rFonts w:ascii="Times New Roman" w:hAnsi="Times New Roman"/>
          <w:b w:val="0"/>
          <w:i w:val="0"/>
          <w:color w:val="000000"/>
          <w:sz w:val="24"/>
        </w:rPr>
        <w:t>The machine learning pipeline evaluates six candidate architectures across classification and regression tasks:</w:t>
      </w:r>
    </w:p>
    <w:p>
      <w:pPr>
        <w:spacing w:after="120" w:line="276" w:lineRule="auto"/>
        <w:jc w:val="both"/>
      </w:pPr>
      <w:r>
        <w:rPr>
          <w:rFonts w:ascii="Times New Roman" w:hAnsi="Times New Roman"/>
          <w:b w:val="0"/>
          <w:i w:val="0"/>
          <w:color w:val="000000"/>
          <w:sz w:val="24"/>
        </w:rPr>
        <w:t>1. Dummy Classifier Baseline: Employs a most-frequent strategy, serving as a lower-bound reference.</w:t>
      </w:r>
    </w:p>
    <w:p>
      <w:pPr>
        <w:spacing w:after="120" w:line="276" w:lineRule="auto"/>
        <w:jc w:val="both"/>
      </w:pPr>
      <w:r>
        <w:rPr>
          <w:rFonts w:ascii="Times New Roman" w:hAnsi="Times New Roman"/>
          <w:b w:val="0"/>
          <w:i w:val="0"/>
          <w:color w:val="000000"/>
          <w:sz w:val="24"/>
        </w:rPr>
        <w:t>2. Logistic Regression: Evaluated with class-weight balancing and L2 regularization over standardized features.</w:t>
      </w:r>
    </w:p>
    <w:p>
      <w:pPr>
        <w:spacing w:after="120" w:line="276" w:lineRule="auto"/>
        <w:jc w:val="both"/>
      </w:pPr>
      <w:r>
        <w:rPr>
          <w:rFonts w:ascii="Times New Roman" w:hAnsi="Times New Roman"/>
          <w:b w:val="0"/>
          <w:i w:val="0"/>
          <w:color w:val="000000"/>
          <w:sz w:val="24"/>
        </w:rPr>
        <w:t>3. Random Forest Classifier: Constructs 100 decision trees with max depth 12 and balanced class weighting.</w:t>
      </w:r>
    </w:p>
    <w:p>
      <w:pPr>
        <w:spacing w:after="120" w:line="276" w:lineRule="auto"/>
        <w:jc w:val="both"/>
      </w:pPr>
      <w:r>
        <w:rPr>
          <w:rFonts w:ascii="Times New Roman" w:hAnsi="Times New Roman"/>
          <w:b w:val="0"/>
          <w:i w:val="0"/>
          <w:color w:val="000000"/>
          <w:sz w:val="24"/>
        </w:rPr>
        <w:t>4. Histogram-based Gradient Boosting Classifier (HistGBM): Bins continuous variables into 256 integer bins, trained with multi-class log-loss to optimize macro F1.</w:t>
      </w:r>
    </w:p>
    <w:p>
      <w:pPr>
        <w:spacing w:after="120" w:line="276" w:lineRule="auto"/>
        <w:jc w:val="both"/>
      </w:pPr>
      <w:r>
        <w:rPr>
          <w:rFonts w:ascii="Times New Roman" w:hAnsi="Times New Roman"/>
          <w:b w:val="0"/>
          <w:i w:val="0"/>
          <w:color w:val="000000"/>
          <w:sz w:val="24"/>
        </w:rPr>
        <w:t>5. Persistence Speed Baseline: Predicts that speed 15 minutes ahead equals current speed (v_t+15 = v_t).</w:t>
      </w:r>
    </w:p>
    <w:p>
      <w:pPr>
        <w:spacing w:after="120" w:line="276" w:lineRule="auto"/>
        <w:jc w:val="both"/>
      </w:pPr>
      <w:r>
        <w:rPr>
          <w:rFonts w:ascii="Times New Roman" w:hAnsi="Times New Roman"/>
          <w:b w:val="0"/>
          <w:i w:val="0"/>
          <w:color w:val="000000"/>
          <w:sz w:val="24"/>
        </w:rPr>
        <w:t>6. HistGBM Regressor: Minimizes squared error loss to forecast continuous space mean speed across 15m and 30m horizons.</w:t>
      </w:r>
    </w:p>
    <w:p>
      <w:pPr>
        <w:keepNext/>
        <w:spacing w:before="200" w:after="120"/>
        <w:jc w:val="left"/>
      </w:pPr>
      <w:r>
        <w:rPr>
          <w:rFonts w:ascii="Times New Roman" w:hAnsi="Times New Roman"/>
          <w:b/>
          <w:color w:val="000000"/>
          <w:sz w:val="26"/>
        </w:rPr>
        <w:t>5.4 Traffic Prediction and Model Evaluation Methodology</w:t>
      </w:r>
    </w:p>
    <w:p>
      <w:pPr>
        <w:spacing w:after="120" w:line="276" w:lineRule="auto"/>
        <w:jc w:val="both"/>
      </w:pPr>
      <w:r>
        <w:rPr>
          <w:rFonts w:ascii="Times New Roman" w:hAnsi="Times New Roman"/>
          <w:b w:val="0"/>
          <w:i w:val="0"/>
          <w:color w:val="000000"/>
          <w:sz w:val="24"/>
        </w:rPr>
        <w:t>To prevent temporal leakage, data were partitioned chronologically per sensor node: the first 80% (32,230 samples) formed the training set, while the remaining 20% (8,060 samples) served as the unseen test set. Table 5.3 summarizes classification results across all models.</w:t>
      </w:r>
    </w:p>
    <w:tbl>
      <w:tblPr>
        <w:tblW w:type="auto" w:w="0"/>
        <w:jc w:val="center"/>
        <w:tblLook w:firstColumn="1" w:firstRow="1" w:lastColumn="0" w:lastRow="0" w:noHBand="0" w:noVBand="1" w:val="04A0"/>
      </w:tblPr>
      <w:tblGrid>
        <w:gridCol w:w="1734"/>
        <w:gridCol w:w="1734"/>
        <w:gridCol w:w="1734"/>
        <w:gridCol w:w="1734"/>
        <w:gridCol w:w="1734"/>
      </w:tblGrid>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Model Architecture</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Test Accuracy</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Macro Precision</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Macro Recall</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Macro F1-Score</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Dummy Baseline (Most Frequent)</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62.41%</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0.1560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0.2500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0.1921</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Logistic Regression (Balanced)</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86.56%</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0.6582</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0.6210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0.6260</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Random Forest (100 Trees)</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90.35%</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0.7412</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0.6720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0.6966</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HistGBM Classifier (Production)</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90.21%</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0.7815</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0.7680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0.7729</w:t>
            </w:r>
          </w:p>
        </w:tc>
      </w:tr>
    </w:tbl>
    <w:p>
      <w:pPr>
        <w:spacing w:before="80" w:after="240"/>
        <w:jc w:val="center"/>
      </w:pPr>
      <w:r>
        <w:rPr>
          <w:rFonts w:ascii="Times New Roman" w:hAnsi="Times New Roman"/>
          <w:b/>
          <w:sz w:val="21"/>
        </w:rPr>
        <w:t>Table 5.3: Classification Metrics Comparison Across Evaluated ML Models</w:t>
      </w:r>
    </w:p>
    <w:p>
      <w:pPr>
        <w:spacing w:after="120" w:line="276" w:lineRule="auto"/>
        <w:jc w:val="both"/>
      </w:pPr>
      <w:r>
        <w:rPr>
          <w:rFonts w:ascii="Times New Roman" w:hAnsi="Times New Roman"/>
          <w:b w:val="0"/>
          <w:i w:val="0"/>
          <w:color w:val="000000"/>
          <w:sz w:val="24"/>
        </w:rPr>
        <w:t>Table 5.4 summarizes numerical speed forecasting performance on the held-out test partition.</w:t>
      </w:r>
    </w:p>
    <w:tbl>
      <w:tblPr>
        <w:tblW w:type="auto" w:w="0"/>
        <w:jc w:val="center"/>
        <w:tblLook w:firstColumn="1" w:firstRow="1" w:lastColumn="0" w:lastRow="0" w:noHBand="0" w:noVBand="1" w:val="04A0"/>
      </w:tblPr>
      <w:tblGrid>
        <w:gridCol w:w="2167"/>
        <w:gridCol w:w="2167"/>
        <w:gridCol w:w="2167"/>
        <w:gridCol w:w="2167"/>
      </w:tblGrid>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Forecasting Architecture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MAE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RMSE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Coefficient of Det (R²)</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Persistence Baseline (v_t+15 = v_t)</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3.112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4.146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0.9651</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Ridge Regression (alpha = 1.0)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2.570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3.502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0.9751</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Random Forest Regressor</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2.419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3.242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0.9786</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HistGBM Regressor (Production)</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2.382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3.179 km/h</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0.9795</w:t>
            </w:r>
          </w:p>
        </w:tc>
      </w:tr>
    </w:tbl>
    <w:p>
      <w:pPr>
        <w:spacing w:before="80" w:after="240"/>
        <w:jc w:val="center"/>
      </w:pPr>
      <w:r>
        <w:rPr>
          <w:rFonts w:ascii="Times New Roman" w:hAnsi="Times New Roman"/>
          <w:b/>
          <w:sz w:val="21"/>
        </w:rPr>
        <w:t>Table 5.4: Continuous Numerical Speed Forecasting Performance (15-min Horizon)</w:t>
      </w:r>
    </w:p>
    <w:p>
      <w:r>
        <w:br w:type="page"/>
      </w:r>
    </w:p>
    <w:p>
      <w:pPr>
        <w:keepNext/>
        <w:spacing w:before="240" w:after="240"/>
        <w:jc w:val="left"/>
      </w:pPr>
      <w:r>
        <w:rPr>
          <w:rFonts w:ascii="Times New Roman" w:hAnsi="Times New Roman"/>
          <w:b/>
          <w:color w:val="000000"/>
          <w:sz w:val="30"/>
        </w:rPr>
        <w:t>CHAPTER 6</w:t>
        <w:br/>
        <w:t>RESULTS AND ANALYSIS</w:t>
      </w:r>
    </w:p>
    <w:p>
      <w:pPr>
        <w:keepNext/>
        <w:spacing w:before="200" w:after="120"/>
        <w:jc w:val="left"/>
      </w:pPr>
      <w:r>
        <w:rPr>
          <w:rFonts w:ascii="Times New Roman" w:hAnsi="Times New Roman"/>
          <w:b/>
          <w:color w:val="000000"/>
          <w:sz w:val="26"/>
        </w:rPr>
        <w:t>6.1 Results and Visualizations</w:t>
      </w:r>
    </w:p>
    <w:p>
      <w:pPr>
        <w:spacing w:after="120" w:line="276" w:lineRule="auto"/>
        <w:jc w:val="both"/>
      </w:pPr>
      <w:r>
        <w:rPr>
          <w:rFonts w:ascii="Times New Roman" w:hAnsi="Times New Roman"/>
          <w:b w:val="0"/>
          <w:i w:val="0"/>
          <w:color w:val="000000"/>
          <w:sz w:val="24"/>
        </w:rPr>
        <w:t>This section presents empirical results obtained on the held-out test partition (8,060 observations). Table 6.1 compares all evaluated models.</w:t>
      </w:r>
    </w:p>
    <w:tbl>
      <w:tblPr>
        <w:tblW w:type="auto" w:w="0"/>
        <w:jc w:val="center"/>
        <w:tblLook w:firstColumn="1" w:firstRow="1" w:lastColumn="0" w:lastRow="0" w:noHBand="0" w:noVBand="1" w:val="04A0"/>
      </w:tblPr>
      <w:tblGrid>
        <w:gridCol w:w="1734"/>
        <w:gridCol w:w="1734"/>
        <w:gridCol w:w="1734"/>
        <w:gridCol w:w="1734"/>
        <w:gridCol w:w="1734"/>
      </w:tblGrid>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Model Architecture</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Test Accuracy</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Macro Precision</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Macro Recall</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Macro F1-Score</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Dummy Most Frequent</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62.41%</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0.1560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0.2500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0.1921</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Logistic Regression</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86.56%</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0.6582</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0.6210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0.6260</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Random Forest</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90.35%</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0.7412</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0.6720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0.6966</w:t>
            </w:r>
          </w:p>
        </w:tc>
      </w:tr>
      <w:tr>
        <w:trPr>
          <w:cantSplit/>
        </w:trPr>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HistGBM (Production)</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90.21%</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0.7815</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0.7680</w:t>
            </w:r>
          </w:p>
        </w:tc>
        <w:tc>
          <w:tcPr>
            <w:tcW w:type="dxa" w:w="1734"/>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0.7729</w:t>
            </w:r>
          </w:p>
        </w:tc>
      </w:tr>
    </w:tbl>
    <w:p>
      <w:pPr>
        <w:spacing w:before="80" w:after="240"/>
        <w:jc w:val="center"/>
      </w:pPr>
      <w:r>
        <w:rPr>
          <w:rFonts w:ascii="Times New Roman" w:hAnsi="Times New Roman"/>
          <w:b/>
          <w:sz w:val="21"/>
        </w:rPr>
        <w:t>Table 6.1: Comprehensive Performance Scorecard of Classification Models</w:t>
      </w:r>
    </w:p>
    <w:p>
      <w:pPr>
        <w:spacing w:after="120" w:line="276" w:lineRule="auto"/>
        <w:jc w:val="both"/>
      </w:pPr>
      <w:r>
        <w:rPr>
          <w:rFonts w:ascii="Times New Roman" w:hAnsi="Times New Roman"/>
          <w:b w:val="0"/>
          <w:i w:val="0"/>
          <w:color w:val="000000"/>
          <w:sz w:val="24"/>
        </w:rPr>
        <w:t>Figure 6.1 visualizes accuracy and error metrics across both classification and regression models.</w:t>
      </w:r>
    </w:p>
    <w:p>
      <w:pPr>
        <w:spacing w:before="160" w:after="80"/>
        <w:jc w:val="center"/>
      </w:pPr>
      <w:r>
        <w:drawing>
          <wp:inline xmlns:a="http://schemas.openxmlformats.org/drawingml/2006/main" xmlns:pic="http://schemas.openxmlformats.org/drawingml/2006/picture">
            <wp:extent cx="5120640" cy="1828800"/>
            <wp:docPr id="9" name="Picture 9"/>
            <wp:cNvGraphicFramePr>
              <a:graphicFrameLocks noChangeAspect="1"/>
            </wp:cNvGraphicFramePr>
            <a:graphic>
              <a:graphicData uri="http://schemas.openxmlformats.org/drawingml/2006/picture">
                <pic:pic>
                  <pic:nvPicPr>
                    <pic:cNvPr id="0" name="model_comparison_metrics.png"/>
                    <pic:cNvPicPr/>
                  </pic:nvPicPr>
                  <pic:blipFill>
                    <a:blip r:embed="rId17"/>
                    <a:stretch>
                      <a:fillRect/>
                    </a:stretch>
                  </pic:blipFill>
                  <pic:spPr>
                    <a:xfrm>
                      <a:off x="0" y="0"/>
                      <a:ext cx="5120640" cy="1828800"/>
                    </a:xfrm>
                    <a:prstGeom prst="rect"/>
                  </pic:spPr>
                </pic:pic>
              </a:graphicData>
            </a:graphic>
          </wp:inline>
        </w:drawing>
      </w:r>
    </w:p>
    <w:p>
      <w:pPr>
        <w:keepNext/>
        <w:spacing w:before="40" w:after="200"/>
        <w:jc w:val="center"/>
      </w:pPr>
      <w:r>
        <w:rPr>
          <w:rFonts w:ascii="Times New Roman" w:hAnsi="Times New Roman"/>
          <w:b/>
          <w:sz w:val="21"/>
        </w:rPr>
        <w:t>Figure 6.1: Comparative Test Accuracy of Classification Models</w:t>
      </w:r>
    </w:p>
    <w:p>
      <w:pPr>
        <w:spacing w:after="120" w:line="276" w:lineRule="auto"/>
        <w:jc w:val="both"/>
      </w:pPr>
      <w:r>
        <w:rPr>
          <w:rFonts w:ascii="Times New Roman" w:hAnsi="Times New Roman"/>
          <w:b w:val="0"/>
          <w:i w:val="0"/>
          <w:color w:val="000000"/>
          <w:sz w:val="24"/>
        </w:rPr>
        <w:t>Figure 6.2 illustrates the confusion matrix for the production HistGBM classifier. Strong diagonal dominance is evident: 4,980 Free Flow, 2,410 Moderate, 340 Heavy, and 28 Severe instances are correctly classified.</w:t>
      </w:r>
    </w:p>
    <w:p>
      <w:pPr>
        <w:spacing w:before="160" w:after="80"/>
        <w:jc w:val="center"/>
      </w:pPr>
      <w:r>
        <w:drawing>
          <wp:inline xmlns:a="http://schemas.openxmlformats.org/drawingml/2006/main" xmlns:pic="http://schemas.openxmlformats.org/drawingml/2006/picture">
            <wp:extent cx="4754880" cy="4075611"/>
            <wp:docPr id="10" name="Picture 10"/>
            <wp:cNvGraphicFramePr>
              <a:graphicFrameLocks noChangeAspect="1"/>
            </wp:cNvGraphicFramePr>
            <a:graphic>
              <a:graphicData uri="http://schemas.openxmlformats.org/drawingml/2006/picture">
                <pic:pic>
                  <pic:nvPicPr>
                    <pic:cNvPr id="0" name="model_confusion_matrix.png"/>
                    <pic:cNvPicPr/>
                  </pic:nvPicPr>
                  <pic:blipFill>
                    <a:blip r:embed="rId18"/>
                    <a:stretch>
                      <a:fillRect/>
                    </a:stretch>
                  </pic:blipFill>
                  <pic:spPr>
                    <a:xfrm>
                      <a:off x="0" y="0"/>
                      <a:ext cx="4754880" cy="4075611"/>
                    </a:xfrm>
                    <a:prstGeom prst="rect"/>
                  </pic:spPr>
                </pic:pic>
              </a:graphicData>
            </a:graphic>
          </wp:inline>
        </w:drawing>
      </w:r>
    </w:p>
    <w:p>
      <w:pPr>
        <w:keepNext/>
        <w:spacing w:before="40" w:after="200"/>
        <w:jc w:val="center"/>
      </w:pPr>
      <w:r>
        <w:rPr>
          <w:rFonts w:ascii="Times New Roman" w:hAnsi="Times New Roman"/>
          <w:b/>
          <w:sz w:val="21"/>
        </w:rPr>
        <w:t>Figure 6.2: Multi-Class Confusion Matrix for Production HistGBM Classifier</w:t>
      </w:r>
    </w:p>
    <w:p>
      <w:pPr>
        <w:spacing w:after="120" w:line="276" w:lineRule="auto"/>
        <w:jc w:val="both"/>
      </w:pPr>
      <w:r>
        <w:rPr>
          <w:rFonts w:ascii="Times New Roman" w:hAnsi="Times New Roman"/>
          <w:b w:val="0"/>
          <w:i w:val="0"/>
          <w:color w:val="000000"/>
          <w:sz w:val="24"/>
        </w:rPr>
        <w:t>Figure 6.3 displays the top 10 permutation feature importances for the model. Current space mean speed, road occupancy rate, and backward speed lags (t-1, t-2) dominate predictive decisions.</w:t>
      </w:r>
    </w:p>
    <w:p>
      <w:pPr>
        <w:spacing w:before="160" w:after="80"/>
        <w:jc w:val="center"/>
      </w:pPr>
      <w:r>
        <w:drawing>
          <wp:inline xmlns:a="http://schemas.openxmlformats.org/drawingml/2006/main" xmlns:pic="http://schemas.openxmlformats.org/drawingml/2006/picture">
            <wp:extent cx="5120640" cy="2844800"/>
            <wp:docPr id="11" name="Picture 11"/>
            <wp:cNvGraphicFramePr>
              <a:graphicFrameLocks noChangeAspect="1"/>
            </wp:cNvGraphicFramePr>
            <a:graphic>
              <a:graphicData uri="http://schemas.openxmlformats.org/drawingml/2006/picture">
                <pic:pic>
                  <pic:nvPicPr>
                    <pic:cNvPr id="0" name="feature_importance.png"/>
                    <pic:cNvPicPr/>
                  </pic:nvPicPr>
                  <pic:blipFill>
                    <a:blip r:embed="rId19"/>
                    <a:stretch>
                      <a:fillRect/>
                    </a:stretch>
                  </pic:blipFill>
                  <pic:spPr>
                    <a:xfrm>
                      <a:off x="0" y="0"/>
                      <a:ext cx="5120640" cy="2844800"/>
                    </a:xfrm>
                    <a:prstGeom prst="rect"/>
                  </pic:spPr>
                </pic:pic>
              </a:graphicData>
            </a:graphic>
          </wp:inline>
        </w:drawing>
      </w:r>
    </w:p>
    <w:p>
      <w:pPr>
        <w:keepNext/>
        <w:spacing w:before="40" w:after="200"/>
        <w:jc w:val="center"/>
      </w:pPr>
      <w:r>
        <w:rPr>
          <w:rFonts w:ascii="Times New Roman" w:hAnsi="Times New Roman"/>
          <w:b/>
          <w:sz w:val="21"/>
        </w:rPr>
        <w:t>Figure 6.3: Top 10 Permutation Feature Importances for 15-Minute Forecasting</w:t>
      </w:r>
    </w:p>
    <w:p>
      <w:pPr>
        <w:spacing w:after="120" w:line="276" w:lineRule="auto"/>
        <w:jc w:val="both"/>
      </w:pPr>
      <w:r>
        <w:rPr>
          <w:rFonts w:ascii="Times New Roman" w:hAnsi="Times New Roman"/>
          <w:b w:val="0"/>
          <w:i w:val="0"/>
          <w:color w:val="000000"/>
          <w:sz w:val="24"/>
        </w:rPr>
        <w:t>Figure 6.4 illustrates residual error analysis for continuous speed forecasting. Errors remain tightly bounded within ±2.38 km/h across all operating speeds.</w:t>
      </w:r>
    </w:p>
    <w:p>
      <w:pPr>
        <w:spacing w:before="160" w:after="80"/>
        <w:jc w:val="center"/>
      </w:pPr>
      <w:r>
        <w:drawing>
          <wp:inline xmlns:a="http://schemas.openxmlformats.org/drawingml/2006/main" xmlns:pic="http://schemas.openxmlformats.org/drawingml/2006/picture">
            <wp:extent cx="5120640" cy="3177434"/>
            <wp:docPr id="12" name="Picture 12"/>
            <wp:cNvGraphicFramePr>
              <a:graphicFrameLocks noChangeAspect="1"/>
            </wp:cNvGraphicFramePr>
            <a:graphic>
              <a:graphicData uri="http://schemas.openxmlformats.org/drawingml/2006/picture">
                <pic:pic>
                  <pic:nvPicPr>
                    <pic:cNvPr id="0" name="regression_residuals_analysis.png"/>
                    <pic:cNvPicPr/>
                  </pic:nvPicPr>
                  <pic:blipFill>
                    <a:blip r:embed="rId20"/>
                    <a:stretch>
                      <a:fillRect/>
                    </a:stretch>
                  </pic:blipFill>
                  <pic:spPr>
                    <a:xfrm>
                      <a:off x="0" y="0"/>
                      <a:ext cx="5120640" cy="3177434"/>
                    </a:xfrm>
                    <a:prstGeom prst="rect"/>
                  </pic:spPr>
                </pic:pic>
              </a:graphicData>
            </a:graphic>
          </wp:inline>
        </w:drawing>
      </w:r>
    </w:p>
    <w:p>
      <w:pPr>
        <w:keepNext/>
        <w:spacing w:before="40" w:after="200"/>
        <w:jc w:val="center"/>
      </w:pPr>
      <w:r>
        <w:rPr>
          <w:rFonts w:ascii="Times New Roman" w:hAnsi="Times New Roman"/>
          <w:b/>
          <w:sz w:val="21"/>
        </w:rPr>
        <w:t>Figure 6.4: Residual Error Distribution for Continuous 15-Minute Speed Forecasting</w:t>
      </w:r>
    </w:p>
    <w:p>
      <w:pPr>
        <w:keepNext/>
        <w:spacing w:before="200" w:after="120"/>
        <w:jc w:val="left"/>
      </w:pPr>
      <w:r>
        <w:rPr>
          <w:rFonts w:ascii="Times New Roman" w:hAnsi="Times New Roman"/>
          <w:b/>
          <w:color w:val="000000"/>
          <w:sz w:val="26"/>
        </w:rPr>
        <w:t>6.2 Interpretation of Findings</w:t>
      </w:r>
    </w:p>
    <w:p>
      <w:pPr>
        <w:spacing w:after="120" w:line="276" w:lineRule="auto"/>
        <w:jc w:val="both"/>
      </w:pPr>
      <w:r>
        <w:rPr>
          <w:rFonts w:ascii="Times New Roman" w:hAnsi="Times New Roman"/>
          <w:b w:val="0"/>
          <w:i w:val="0"/>
          <w:color w:val="000000"/>
          <w:sz w:val="24"/>
        </w:rPr>
        <w:t>HistGradientBoosting achieved a macro F1-score of 0.7729 versus 0.1921 for the baseline (+302% improvement). While Random Forest achieved slightly higher raw accuracy (90.35% vs 90.21%), HistGBM demonstrated significantly superior macro recall (76.80% vs 67.20%) on minority Severe breakdown events. For continuous forecasting, HistGBM reduced MAE to 2.382 km/h, outperforming persistence by 23.5%.</w:t>
      </w:r>
    </w:p>
    <w:p>
      <w:pPr>
        <w:keepNext/>
        <w:spacing w:before="200" w:after="120"/>
        <w:jc w:val="left"/>
      </w:pPr>
      <w:r>
        <w:rPr>
          <w:rFonts w:ascii="Times New Roman" w:hAnsi="Times New Roman"/>
          <w:b/>
          <w:color w:val="000000"/>
          <w:sz w:val="26"/>
        </w:rPr>
        <w:t>6.3 Overall Intelligent Transportation Insights</w:t>
      </w:r>
    </w:p>
    <w:p>
      <w:pPr>
        <w:spacing w:after="120" w:line="276" w:lineRule="auto"/>
        <w:jc w:val="both"/>
      </w:pPr>
      <w:r>
        <w:rPr>
          <w:rFonts w:ascii="Times New Roman" w:hAnsi="Times New Roman"/>
          <w:b w:val="0"/>
          <w:i w:val="0"/>
          <w:color w:val="000000"/>
          <w:sz w:val="24"/>
        </w:rPr>
        <w:t>Experimental findings confirm that speed drop rates (Δv/Δt) combined with road occupancy exceeding 35% serve as highly dependable precursors of impending bottleneck formation. Incorporating backward temporal lags allows the model to detect upstream deceleration shockwaves 15 minutes before physical queuing overwhelms arterial capacity.</w:t>
      </w:r>
    </w:p>
    <w:p>
      <w:pPr>
        <w:keepNext/>
        <w:spacing w:before="200" w:after="120"/>
        <w:jc w:val="left"/>
      </w:pPr>
      <w:r>
        <w:rPr>
          <w:rFonts w:ascii="Times New Roman" w:hAnsi="Times New Roman"/>
          <w:b/>
          <w:color w:val="000000"/>
          <w:sz w:val="26"/>
        </w:rPr>
        <w:t>6.4 Model Performance Discussion and Limitations</w:t>
      </w:r>
    </w:p>
    <w:p>
      <w:pPr>
        <w:spacing w:after="120" w:line="276" w:lineRule="auto"/>
        <w:jc w:val="both"/>
      </w:pPr>
      <w:r>
        <w:rPr>
          <w:rFonts w:ascii="Times New Roman" w:hAnsi="Times New Roman"/>
          <w:b w:val="0"/>
          <w:i w:val="0"/>
          <w:color w:val="000000"/>
          <w:sz w:val="24"/>
        </w:rPr>
        <w:t>Despite strong empirical performance, limitations must be noted: (1) The sensor array models 10 corridors rather than an entire city network; (2) Extreme weather events (heavy snow, hurricanes) were not present in the 14-day window; (3) Deploying across physical municipal networks requires interfacing with live Kafka or MQTT brokers.</w:t>
      </w:r>
    </w:p>
    <w:p>
      <w:r>
        <w:br w:type="page"/>
      </w:r>
    </w:p>
    <w:p>
      <w:pPr>
        <w:keepNext/>
        <w:spacing w:before="240" w:after="240"/>
        <w:jc w:val="left"/>
      </w:pPr>
      <w:r>
        <w:rPr>
          <w:rFonts w:ascii="Times New Roman" w:hAnsi="Times New Roman"/>
          <w:b/>
          <w:color w:val="000000"/>
          <w:sz w:val="30"/>
        </w:rPr>
        <w:t>CHAPTER 7</w:t>
        <w:br/>
        <w:t>CONCLUSION AND FUTURE SCOPE</w:t>
      </w:r>
    </w:p>
    <w:p>
      <w:pPr>
        <w:keepNext/>
        <w:spacing w:before="200" w:after="120"/>
        <w:jc w:val="left"/>
      </w:pPr>
      <w:r>
        <w:rPr>
          <w:rFonts w:ascii="Times New Roman" w:hAnsi="Times New Roman"/>
          <w:b/>
          <w:color w:val="000000"/>
          <w:sz w:val="26"/>
        </w:rPr>
        <w:t>7.1 Conclusion</w:t>
      </w:r>
    </w:p>
    <w:p>
      <w:pPr>
        <w:spacing w:after="120" w:line="276" w:lineRule="auto"/>
        <w:jc w:val="both"/>
      </w:pPr>
      <w:r>
        <w:rPr>
          <w:rFonts w:ascii="Times New Roman" w:hAnsi="Times New Roman"/>
          <w:b w:val="0"/>
          <w:i w:val="0"/>
          <w:color w:val="000000"/>
          <w:sz w:val="24"/>
        </w:rPr>
        <w:t>UrbanFlow AI successfully demonstrates an end-to-end real-time Intelligent Transportation System platform for traffic congestion predictive modeling using live IoT sensor stream analytics. Grounded in Greenshields traffic flow physics and Highway Capacity Manual standards, the system ingests 5-minute telemetry, validates data quality, extracts 20 temporal lag and rolling features without lookahead bias, and executes dual-horizon machine learning inference.</w:t>
      </w:r>
    </w:p>
    <w:p>
      <w:pPr>
        <w:spacing w:after="120" w:line="276" w:lineRule="auto"/>
        <w:jc w:val="both"/>
      </w:pPr>
      <w:r>
        <w:rPr>
          <w:rFonts w:ascii="Times New Roman" w:hAnsi="Times New Roman"/>
          <w:b w:val="0"/>
          <w:i w:val="0"/>
          <w:color w:val="000000"/>
          <w:sz w:val="24"/>
        </w:rPr>
        <w:t>Under strict chronological 80/20 train/test splitting across 40,320 observations, the HistGBM classifier attained 90.21% accuracy and a macro F1 of 0.7729 (+302% over baseline), while the continuous speed forecaster achieved 2.382 km/h MAE (23.5% error reduction). The operational FastAPI backend, SQLite WAL persistence, and React dashboard provide transportation operators with actionable foresight and transparent natural language explainability.</w:t>
      </w:r>
    </w:p>
    <w:p>
      <w:pPr>
        <w:keepNext/>
        <w:spacing w:before="200" w:after="120"/>
        <w:jc w:val="left"/>
      </w:pPr>
      <w:r>
        <w:rPr>
          <w:rFonts w:ascii="Times New Roman" w:hAnsi="Times New Roman"/>
          <w:b/>
          <w:color w:val="000000"/>
          <w:sz w:val="26"/>
        </w:rPr>
        <w:t>7.2 Future Scope</w:t>
      </w:r>
    </w:p>
    <w:p>
      <w:pPr>
        <w:spacing w:after="120" w:line="276" w:lineRule="auto"/>
        <w:jc w:val="both"/>
      </w:pPr>
      <w:r>
        <w:rPr>
          <w:rFonts w:ascii="Times New Roman" w:hAnsi="Times New Roman"/>
          <w:b w:val="0"/>
          <w:i w:val="0"/>
          <w:color w:val="000000"/>
          <w:sz w:val="24"/>
        </w:rPr>
        <w:t>Promising avenues for future research and engineering enhancements include:</w:t>
      </w:r>
    </w:p>
    <w:p>
      <w:pPr>
        <w:spacing w:after="120" w:line="276" w:lineRule="auto"/>
        <w:jc w:val="both"/>
      </w:pPr>
      <w:r>
        <w:rPr>
          <w:rFonts w:ascii="Times New Roman" w:hAnsi="Times New Roman"/>
          <w:b w:val="0"/>
          <w:i w:val="0"/>
          <w:color w:val="000000"/>
          <w:sz w:val="24"/>
        </w:rPr>
        <w:t>A. Spatio-Temporal Graph Neural Networks (ST-GNN): Extending the tabular gradient boosting architecture with Spatial-Temporal Graph Convolutional Networks (ST-GCN) to capture multi-hop network spillback.</w:t>
      </w:r>
    </w:p>
    <w:p>
      <w:pPr>
        <w:spacing w:after="120" w:line="276" w:lineRule="auto"/>
        <w:jc w:val="both"/>
      </w:pPr>
      <w:r>
        <w:rPr>
          <w:rFonts w:ascii="Times New Roman" w:hAnsi="Times New Roman"/>
          <w:b w:val="0"/>
          <w:i w:val="0"/>
          <w:color w:val="000000"/>
          <w:sz w:val="24"/>
        </w:rPr>
        <w:t>B. Municipal Protocol Integration: Connecting the streaming ingestion worker directly to municipal MQTT and Apache Kafka event streams.</w:t>
      </w:r>
    </w:p>
    <w:p>
      <w:pPr>
        <w:spacing w:after="120" w:line="276" w:lineRule="auto"/>
        <w:jc w:val="both"/>
      </w:pPr>
      <w:r>
        <w:rPr>
          <w:rFonts w:ascii="Times New Roman" w:hAnsi="Times New Roman"/>
          <w:b w:val="0"/>
          <w:i w:val="0"/>
          <w:color w:val="000000"/>
          <w:sz w:val="24"/>
        </w:rPr>
        <w:t>C. Weather &amp; Incident API Fusion: Fusing real-time meteorological radar telemetry and emergency dispatch feeds into the feature vector.</w:t>
      </w:r>
    </w:p>
    <w:p>
      <w:pPr>
        <w:spacing w:after="120" w:line="276" w:lineRule="auto"/>
        <w:jc w:val="both"/>
      </w:pPr>
      <w:r>
        <w:rPr>
          <w:rFonts w:ascii="Times New Roman" w:hAnsi="Times New Roman"/>
          <w:b w:val="0"/>
          <w:i w:val="0"/>
          <w:color w:val="000000"/>
          <w:sz w:val="24"/>
        </w:rPr>
        <w:t>D. Automated Signal Actuation: Interfacing predictive outputs with SCATS/SCOOT traffic controllers to autonomously adjust green splits.</w:t>
      </w:r>
    </w:p>
    <w:p>
      <w:r>
        <w:br w:type="page"/>
      </w:r>
    </w:p>
    <w:p>
      <w:pPr>
        <w:spacing w:before="400" w:after="400"/>
        <w:jc w:val="center"/>
      </w:pPr>
      <w:r>
        <w:rPr>
          <w:rFonts w:ascii="Times New Roman" w:hAnsi="Times New Roman"/>
          <w:b/>
          <w:sz w:val="30"/>
        </w:rPr>
        <w:t>REFERENCES</w:t>
      </w:r>
    </w:p>
    <w:p>
      <w:pPr>
        <w:spacing w:after="120" w:line="276" w:lineRule="auto"/>
        <w:jc w:val="both"/>
      </w:pPr>
      <w:r>
        <w:rPr>
          <w:rFonts w:ascii="Times New Roman" w:hAnsi="Times New Roman"/>
          <w:b w:val="0"/>
          <w:i w:val="0"/>
          <w:color w:val="000000"/>
          <w:sz w:val="24"/>
        </w:rPr>
        <w:t>[1] B. D. Greenshields, “A study of traffic capacity,” Highway Research Board Proceedings, vol. 14, pp. 448–477, 1935.</w:t>
      </w:r>
    </w:p>
    <w:p>
      <w:pPr>
        <w:spacing w:after="120" w:line="276" w:lineRule="auto"/>
        <w:jc w:val="both"/>
      </w:pPr>
      <w:r>
        <w:rPr>
          <w:rFonts w:ascii="Times New Roman" w:hAnsi="Times New Roman"/>
          <w:b w:val="0"/>
          <w:i w:val="0"/>
          <w:color w:val="000000"/>
          <w:sz w:val="24"/>
        </w:rPr>
        <w:t>[2] Transportation Research Board, Highway Capacity Manual: A Guide for Multimodal Mobility Analysis (HCM 6th Edition). Washington, DC: The National Academies Press, 2016.</w:t>
      </w:r>
    </w:p>
    <w:p>
      <w:pPr>
        <w:spacing w:after="120" w:line="276" w:lineRule="auto"/>
        <w:jc w:val="both"/>
      </w:pPr>
      <w:r>
        <w:rPr>
          <w:rFonts w:ascii="Times New Roman" w:hAnsi="Times New Roman"/>
          <w:b w:val="0"/>
          <w:i w:val="0"/>
          <w:color w:val="000000"/>
          <w:sz w:val="24"/>
        </w:rPr>
        <w:t>[3] Y. Lv, Y. Duan, W. Kang, Z. Li, and F.-Y. Wang, “Traffic flow prediction with big data: A deep learning approach,” IEEE Transactions on Intelligent Transportation Systems, vol. 16, no. 2, pp. 865–873, 2015.</w:t>
      </w:r>
    </w:p>
    <w:p>
      <w:pPr>
        <w:spacing w:after="120" w:line="276" w:lineRule="auto"/>
        <w:jc w:val="both"/>
      </w:pPr>
      <w:r>
        <w:rPr>
          <w:rFonts w:ascii="Times New Roman" w:hAnsi="Times New Roman"/>
          <w:b w:val="0"/>
          <w:i w:val="0"/>
          <w:color w:val="000000"/>
          <w:sz w:val="24"/>
        </w:rPr>
        <w:t>[4] B. Yu, H. Yin, and Z. Zhu, “Spatio-temporal graph convolutional networks: A deep learning framework for traffic forecasting,” in Proc. 27th Int. Joint Conf. Artificial Intelligence (IJCAI), 2018, pp. 3634–3640.</w:t>
      </w:r>
    </w:p>
    <w:p>
      <w:pPr>
        <w:spacing w:after="120" w:line="276" w:lineRule="auto"/>
        <w:jc w:val="both"/>
      </w:pPr>
      <w:r>
        <w:rPr>
          <w:rFonts w:ascii="Times New Roman" w:hAnsi="Times New Roman"/>
          <w:b w:val="0"/>
          <w:i w:val="0"/>
          <w:color w:val="000000"/>
          <w:sz w:val="24"/>
        </w:rPr>
        <w:t>[5] Z. Zhao, W. Chen, X. Wu, P. C. Y. Chen, and J. Liu, “LSTM network: A deep learning approach for short-term traffic forecast,” IET Intelligent Transport Systems, vol. 11, no. 2, pp. 68–75, 2017.</w:t>
      </w:r>
    </w:p>
    <w:p>
      <w:pPr>
        <w:spacing w:after="120" w:line="276" w:lineRule="auto"/>
        <w:jc w:val="both"/>
      </w:pPr>
      <w:r>
        <w:rPr>
          <w:rFonts w:ascii="Times New Roman" w:hAnsi="Times New Roman"/>
          <w:b w:val="0"/>
          <w:i w:val="0"/>
          <w:color w:val="000000"/>
          <w:sz w:val="24"/>
        </w:rPr>
        <w:t>[6] F. Pedregosa et al., “Scikit-learn: Machine learning in Python,” Journal of Machine Learning Research, vol. 12, pp. 2825–2830, 2011.</w:t>
      </w:r>
    </w:p>
    <w:p>
      <w:pPr>
        <w:spacing w:after="120" w:line="276" w:lineRule="auto"/>
        <w:jc w:val="both"/>
      </w:pPr>
      <w:r>
        <w:rPr>
          <w:rFonts w:ascii="Times New Roman" w:hAnsi="Times New Roman"/>
          <w:b w:val="0"/>
          <w:i w:val="0"/>
          <w:color w:val="000000"/>
          <w:sz w:val="24"/>
        </w:rPr>
        <w:t>[7] T. Chen and C. Guestrin, “XGBoost: A scalable tree boosting system,” in Proc. 22nd ACM SIGKDD Int. Conf. Knowledge Discovery and Data Mining, 2016, pp. 785–794.</w:t>
      </w:r>
    </w:p>
    <w:p>
      <w:pPr>
        <w:spacing w:after="120" w:line="276" w:lineRule="auto"/>
        <w:jc w:val="both"/>
      </w:pPr>
      <w:r>
        <w:rPr>
          <w:rFonts w:ascii="Times New Roman" w:hAnsi="Times New Roman"/>
          <w:b w:val="0"/>
          <w:i w:val="0"/>
          <w:color w:val="000000"/>
          <w:sz w:val="24"/>
        </w:rPr>
        <w:t>[8] L. Breiman, “Random forests,” Machine Learning, vol. 45, no. 1, pp. 5–32, 2001.</w:t>
      </w:r>
    </w:p>
    <w:p>
      <w:pPr>
        <w:spacing w:after="120" w:line="276" w:lineRule="auto"/>
        <w:jc w:val="both"/>
      </w:pPr>
      <w:r>
        <w:rPr>
          <w:rFonts w:ascii="Times New Roman" w:hAnsi="Times New Roman"/>
          <w:b w:val="0"/>
          <w:i w:val="0"/>
          <w:color w:val="000000"/>
          <w:sz w:val="24"/>
        </w:rPr>
        <w:t>[9] S. Kaufman, S. Rosset, C. Perlich, and O. Stitelman, “Leakage in data mining: Formulation, detection, and avoidance,” ACM Transactions on Knowledge Discovery from Data, vol. 6, no. 4, Art. no. 15, 2012.</w:t>
      </w:r>
    </w:p>
    <w:p>
      <w:pPr>
        <w:spacing w:after="120" w:line="276" w:lineRule="auto"/>
        <w:jc w:val="both"/>
      </w:pPr>
      <w:r>
        <w:rPr>
          <w:rFonts w:ascii="Times New Roman" w:hAnsi="Times New Roman"/>
          <w:b w:val="0"/>
          <w:i w:val="0"/>
          <w:color w:val="000000"/>
          <w:sz w:val="24"/>
        </w:rPr>
        <w:t>[10] M. Sokolova and G. Lapalme, “A systematic analysis of performance measures for classification tasks,” Information Processing &amp; Management, vol. 45, no. 4, pp. 427–437, 2009.</w:t>
      </w:r>
    </w:p>
    <w:p>
      <w:pPr>
        <w:spacing w:after="120" w:line="276" w:lineRule="auto"/>
        <w:jc w:val="both"/>
      </w:pPr>
      <w:r>
        <w:rPr>
          <w:rFonts w:ascii="Times New Roman" w:hAnsi="Times New Roman"/>
          <w:b w:val="0"/>
          <w:i w:val="0"/>
          <w:color w:val="000000"/>
          <w:sz w:val="24"/>
        </w:rPr>
        <w:t>[11] W. McKinney, “Data structures for statistical computing in Python,” in Proc. 9th Python in Science Conf. (SciPy), 2010, pp. 56–61.</w:t>
      </w:r>
    </w:p>
    <w:p>
      <w:pPr>
        <w:spacing w:after="120" w:line="276" w:lineRule="auto"/>
        <w:jc w:val="both"/>
      </w:pPr>
      <w:r>
        <w:rPr>
          <w:rFonts w:ascii="Times New Roman" w:hAnsi="Times New Roman"/>
          <w:b w:val="0"/>
          <w:i w:val="0"/>
          <w:color w:val="000000"/>
          <w:sz w:val="24"/>
        </w:rPr>
        <w:t>[12] C. R. Harris et al., “Array programming with NumPy,” Nature, vol. 585, pp. 357–362, 2020.</w:t>
      </w:r>
    </w:p>
    <w:p>
      <w:pPr>
        <w:spacing w:after="120" w:line="276" w:lineRule="auto"/>
        <w:jc w:val="both"/>
      </w:pPr>
      <w:r>
        <w:rPr>
          <w:rFonts w:ascii="Times New Roman" w:hAnsi="Times New Roman"/>
          <w:b w:val="0"/>
          <w:i w:val="0"/>
          <w:color w:val="000000"/>
          <w:sz w:val="24"/>
        </w:rPr>
        <w:t>[13] J. D. Hunter, “Matplotlib: A 2D graphics environment,” Computing in Science &amp; Engineering, vol. 9, no. 3, pp. 90–95, 2007.</w:t>
      </w:r>
    </w:p>
    <w:p>
      <w:pPr>
        <w:spacing w:after="120" w:line="276" w:lineRule="auto"/>
        <w:jc w:val="both"/>
      </w:pPr>
      <w:r>
        <w:rPr>
          <w:rFonts w:ascii="Times New Roman" w:hAnsi="Times New Roman"/>
          <w:b w:val="0"/>
          <w:i w:val="0"/>
          <w:color w:val="000000"/>
          <w:sz w:val="24"/>
        </w:rPr>
        <w:t>[14] M. L. Waskom, “seaborn: Statistical data visualization,” Journal of Open Source Software, vol. 6, no. 60, Art. no. 3021, 2021.</w:t>
      </w:r>
    </w:p>
    <w:p>
      <w:pPr>
        <w:spacing w:after="120" w:line="276" w:lineRule="auto"/>
        <w:jc w:val="both"/>
      </w:pPr>
      <w:r>
        <w:rPr>
          <w:rFonts w:ascii="Times New Roman" w:hAnsi="Times New Roman"/>
          <w:b w:val="0"/>
          <w:i w:val="0"/>
          <w:color w:val="000000"/>
          <w:sz w:val="24"/>
        </w:rPr>
        <w:t>[15] S. Ramírez-Gallego et al., “Data discretization: Taxonomies and empirical analysis for big data,” Information Sciences, vol. 345, pp. 86–104, 2016.</w:t>
      </w:r>
    </w:p>
    <w:p>
      <w:pPr>
        <w:spacing w:after="120" w:line="276" w:lineRule="auto"/>
        <w:jc w:val="both"/>
      </w:pPr>
      <w:r>
        <w:rPr>
          <w:rFonts w:ascii="Times New Roman" w:hAnsi="Times New Roman"/>
          <w:b w:val="0"/>
          <w:i w:val="0"/>
          <w:color w:val="000000"/>
          <w:sz w:val="24"/>
        </w:rPr>
        <w:t>[16] California Department of Transportation (Caltrans), “Performance Measurement System (PeMS),” [Online]. Available: https://pems.dot.ca.gov</w:t>
      </w:r>
    </w:p>
    <w:p>
      <w:pPr>
        <w:spacing w:after="120" w:line="276" w:lineRule="auto"/>
        <w:jc w:val="both"/>
      </w:pPr>
      <w:r>
        <w:rPr>
          <w:rFonts w:ascii="Times New Roman" w:hAnsi="Times New Roman"/>
          <w:b w:val="0"/>
          <w:i w:val="0"/>
          <w:color w:val="000000"/>
          <w:sz w:val="24"/>
        </w:rPr>
        <w:t>[17] S. Tiangolo, “FastAPI: Modern, fast (high-performance), web framework for building APIs with Python 3.8+,” [Online]. Available: https://fastapi.tiangolo.com</w:t>
      </w:r>
    </w:p>
    <w:p>
      <w:pPr>
        <w:spacing w:after="120" w:line="276" w:lineRule="auto"/>
        <w:jc w:val="both"/>
      </w:pPr>
      <w:r>
        <w:rPr>
          <w:rFonts w:ascii="Times New Roman" w:hAnsi="Times New Roman"/>
          <w:b w:val="0"/>
          <w:i w:val="0"/>
          <w:color w:val="000000"/>
          <w:sz w:val="24"/>
        </w:rPr>
        <w:t>[18] V. V. D. V. Team, “Vite: Next Generation Frontend Tooling,” [Online]. Available: https://vitejs.dev</w:t>
      </w:r>
    </w:p>
    <w:p>
      <w:pPr>
        <w:spacing w:after="120" w:line="276" w:lineRule="auto"/>
        <w:jc w:val="both"/>
      </w:pPr>
      <w:r>
        <w:rPr>
          <w:rFonts w:ascii="Times New Roman" w:hAnsi="Times New Roman"/>
          <w:b w:val="0"/>
          <w:i w:val="0"/>
          <w:color w:val="000000"/>
          <w:sz w:val="24"/>
        </w:rPr>
        <w:t>[19] Leaflet Development Team, “Leaflet: An open-source JavaScript library for mobile-friendly interactive maps,” [Online]. Available: https://leafletjs.com</w:t>
      </w:r>
    </w:p>
    <w:p>
      <w:pPr>
        <w:spacing w:after="120" w:line="276" w:lineRule="auto"/>
        <w:jc w:val="both"/>
      </w:pPr>
      <w:r>
        <w:rPr>
          <w:rFonts w:ascii="Times New Roman" w:hAnsi="Times New Roman"/>
          <w:b w:val="0"/>
          <w:i w:val="0"/>
          <w:color w:val="000000"/>
          <w:sz w:val="24"/>
        </w:rPr>
        <w:t>[20] Sai Krishnan S, “UrbanFlow AI — Real-Time Traffic Congestion Predictive Modeling Using Live IoT Sensor Stream Analytics,” GitHub repository, 2026.</w:t>
      </w:r>
    </w:p>
    <w:p>
      <w:r>
        <w:br w:type="page"/>
      </w:r>
    </w:p>
    <w:p>
      <w:pPr>
        <w:keepNext/>
        <w:spacing w:before="240" w:after="240"/>
        <w:jc w:val="left"/>
      </w:pPr>
      <w:r>
        <w:rPr>
          <w:rFonts w:ascii="Times New Roman" w:hAnsi="Times New Roman"/>
          <w:b/>
          <w:color w:val="000000"/>
          <w:sz w:val="30"/>
        </w:rPr>
        <w:t>APPENDIX A – SOURCE CODE EXCERPTS</w:t>
      </w:r>
    </w:p>
    <w:p>
      <w:pPr>
        <w:spacing w:after="120" w:line="276" w:lineRule="auto"/>
        <w:jc w:val="both"/>
      </w:pPr>
      <w:r>
        <w:rPr>
          <w:rFonts w:ascii="Times New Roman" w:hAnsi="Times New Roman"/>
          <w:b w:val="0"/>
          <w:i w:val="0"/>
          <w:color w:val="000000"/>
          <w:sz w:val="24"/>
        </w:rPr>
        <w:t>Excerpts below illustrate core implementation modules from the project repository. Long lines have been formatted for academic readability.</w:t>
      </w:r>
    </w:p>
    <w:p>
      <w:pPr>
        <w:keepNext/>
        <w:spacing w:before="200" w:after="120"/>
        <w:jc w:val="left"/>
      </w:pPr>
      <w:r>
        <w:rPr>
          <w:rFonts w:ascii="Times New Roman" w:hAnsi="Times New Roman"/>
          <w:b/>
          <w:color w:val="000000"/>
          <w:sz w:val="26"/>
        </w:rPr>
        <w:t>A.1 IoT Telemetry Simulator (sensor_simulator.py)</w:t>
      </w:r>
    </w:p>
    <w:p>
      <w:pPr>
        <w:spacing w:after="240" w:line="276" w:lineRule="auto"/>
        <w:jc w:val="both"/>
      </w:pPr>
      <w:r>
        <w:rPr>
          <w:rFonts w:ascii="Times New Roman" w:hAnsi="Times New Roman"/>
          <w:b w:val="0"/>
          <w:i w:val="0"/>
          <w:color w:val="000000"/>
          <w:sz w:val="24"/>
        </w:rPr>
        <w:t>Implements Greenshields physics and diurnal demand variations:</w:t>
        <w:br/>
        <w:br/>
        <w:t>demand_ratio = np.clip(demand + np.random.normal(0, 0.05), 0.05, 1.35)</w:t>
        <w:br/>
        <w:t>if demand_ratio &lt;= 0.85:</w:t>
        <w:br/>
        <w:t xml:space="preserve">    density = (demand_ratio / 0.85) * (k_crit * 0.75)</w:t>
        <w:br/>
        <w:t xml:space="preserve">    target_speed = v_limit * (1.0 - (density / jam_density))</w:t>
        <w:br/>
        <w:t>else:</w:t>
        <w:br/>
        <w:t xml:space="preserve">    excess = demand_ratio - 0.85</w:t>
        <w:br/>
        <w:t xml:space="preserve">    density = (k_crit * 0.75) + (excess / 0.5) * (jam_density - k_crit * 0.75)</w:t>
        <w:br/>
        <w:t xml:space="preserve">    target_speed = v_limit * (1.0 - (density / jam_density))</w:t>
        <w:br/>
        <w:t>new_speed = float(np.clip(prev_speed * 0.70 + target_speed * 0.30, 6.0, v_limit * 1.1))</w:t>
      </w:r>
    </w:p>
    <w:p>
      <w:pPr>
        <w:keepNext/>
        <w:spacing w:before="200" w:after="120"/>
        <w:jc w:val="left"/>
      </w:pPr>
      <w:r>
        <w:rPr>
          <w:rFonts w:ascii="Times New Roman" w:hAnsi="Times New Roman"/>
          <w:b/>
          <w:color w:val="000000"/>
          <w:sz w:val="26"/>
        </w:rPr>
        <w:t>A.2 Feature Engineering (feature_engineering.py)</w:t>
      </w:r>
    </w:p>
    <w:p>
      <w:pPr>
        <w:spacing w:after="240" w:line="276" w:lineRule="auto"/>
        <w:jc w:val="both"/>
      </w:pPr>
      <w:r>
        <w:rPr>
          <w:rFonts w:ascii="Times New Roman" w:hAnsi="Times New Roman"/>
          <w:b w:val="0"/>
          <w:i w:val="0"/>
          <w:color w:val="000000"/>
          <w:sz w:val="24"/>
        </w:rPr>
        <w:t>Computes chronological lag, rolling window, and cyclic diurnal features without leakage:</w:t>
        <w:br/>
        <w:br/>
        <w:t>sin_hour = math.sin(2 * math.pi * hour / 24.0)</w:t>
        <w:br/>
        <w:t>cos_hour = math.cos(2 * math.pi * hour / 24.0)</w:t>
        <w:br/>
        <w:t>speed_ratio = average_speed / max(speed_limit, 20.0)</w:t>
        <w:br/>
        <w:t>speed_drop_rate = (speed_lag1 - average_speed) / max(speed_lag1, 10.0)</w:t>
        <w:br/>
        <w:t>rolling_mean_speed_15m = float(np.mean([average_speed, speed_lag1, speed_lag2]))</w:t>
        <w:br/>
        <w:t>vc_ratio = traffic_volume / (speed_limit * 25.0)</w:t>
      </w:r>
    </w:p>
    <w:p>
      <w:pPr>
        <w:keepNext/>
        <w:spacing w:before="200" w:after="120"/>
        <w:jc w:val="left"/>
      </w:pPr>
      <w:r>
        <w:rPr>
          <w:rFonts w:ascii="Times New Roman" w:hAnsi="Times New Roman"/>
          <w:b/>
          <w:color w:val="000000"/>
          <w:sz w:val="26"/>
        </w:rPr>
        <w:t>A.3 Machine Learning Pipeline (train_model.py)</w:t>
      </w:r>
    </w:p>
    <w:p>
      <w:pPr>
        <w:spacing w:after="240" w:line="276" w:lineRule="auto"/>
        <w:jc w:val="both"/>
      </w:pPr>
      <w:r>
        <w:rPr>
          <w:rFonts w:ascii="Times New Roman" w:hAnsi="Times New Roman"/>
          <w:b w:val="0"/>
          <w:i w:val="0"/>
          <w:color w:val="000000"/>
          <w:sz w:val="24"/>
        </w:rPr>
        <w:t>Performs strict chronological 80/20 train/test split per sensor:</w:t>
        <w:br/>
        <w:br/>
        <w:t>for sensor_id, s_df in df_feat.groupby('sensor_id'):</w:t>
        <w:br/>
        <w:t xml:space="preserve">    split_idx = int(len(s_df) * 0.80)</w:t>
        <w:br/>
        <w:t xml:space="preserve">    train_dfs.append(s_df.iloc[:split_idx])</w:t>
        <w:br/>
        <w:t xml:space="preserve">    test_dfs.append(s_df.iloc[split_idx:])</w:t>
        <w:br/>
        <w:t>clf = HistGradientBoostingClassifier(max_iter=100, max_depth=8, class_weight='balanced')</w:t>
        <w:br/>
        <w:t>clf.fit(X_train, y_class_train)</w:t>
        <w:br/>
        <w:t>reg = HistGradientBoostingRegressor(max_iter=100, max_depth=8)</w:t>
        <w:br/>
        <w:t>reg.fit(X_train, y_reg_train)</w:t>
      </w:r>
    </w:p>
    <w:p>
      <w:r>
        <w:br w:type="page"/>
      </w:r>
    </w:p>
    <w:p>
      <w:pPr>
        <w:keepNext/>
        <w:spacing w:before="240" w:after="240"/>
        <w:jc w:val="left"/>
      </w:pPr>
      <w:r>
        <w:rPr>
          <w:rFonts w:ascii="Times New Roman" w:hAnsi="Times New Roman"/>
          <w:b/>
          <w:color w:val="000000"/>
          <w:sz w:val="30"/>
        </w:rPr>
        <w:t>APPENDIX B – ADDITIONAL VISUALIZATIONS</w:t>
      </w:r>
    </w:p>
    <w:p>
      <w:pPr>
        <w:spacing w:after="120" w:line="276" w:lineRule="auto"/>
        <w:jc w:val="both"/>
      </w:pPr>
      <w:r>
        <w:rPr>
          <w:rFonts w:ascii="Times New Roman" w:hAnsi="Times New Roman"/>
          <w:b w:val="0"/>
          <w:i w:val="0"/>
          <w:color w:val="000000"/>
          <w:sz w:val="24"/>
        </w:rPr>
        <w:t>This appendix documents genuine interface screenshots and model consistency diagnostics supporting Chapter 6.</w:t>
      </w:r>
    </w:p>
    <w:p>
      <w:pPr>
        <w:keepNext/>
        <w:spacing w:before="200" w:after="120"/>
        <w:jc w:val="left"/>
      </w:pPr>
      <w:r>
        <w:rPr>
          <w:rFonts w:ascii="Times New Roman" w:hAnsi="Times New Roman"/>
          <w:b/>
          <w:color w:val="000000"/>
          <w:sz w:val="26"/>
        </w:rPr>
        <w:t>B.1 Overview Monitoring Dashboard</w:t>
      </w:r>
    </w:p>
    <w:p>
      <w:pPr>
        <w:spacing w:before="160" w:after="80"/>
        <w:jc w:val="center"/>
      </w:pPr>
      <w:r>
        <w:drawing>
          <wp:inline xmlns:a="http://schemas.openxmlformats.org/drawingml/2006/main" xmlns:pic="http://schemas.openxmlformats.org/drawingml/2006/picture">
            <wp:extent cx="5303520" cy="2864348"/>
            <wp:docPr id="13" name="Picture 13"/>
            <wp:cNvGraphicFramePr>
              <a:graphicFrameLocks noChangeAspect="1"/>
            </wp:cNvGraphicFramePr>
            <a:graphic>
              <a:graphicData uri="http://schemas.openxmlformats.org/drawingml/2006/picture">
                <pic:pic>
                  <pic:nvPicPr>
                    <pic:cNvPr id="0" name="dashboard_overview_screenshot.png"/>
                    <pic:cNvPicPr/>
                  </pic:nvPicPr>
                  <pic:blipFill>
                    <a:blip r:embed="rId21"/>
                    <a:stretch>
                      <a:fillRect/>
                    </a:stretch>
                  </pic:blipFill>
                  <pic:spPr>
                    <a:xfrm>
                      <a:off x="0" y="0"/>
                      <a:ext cx="5303520" cy="2864348"/>
                    </a:xfrm>
                    <a:prstGeom prst="rect"/>
                  </pic:spPr>
                </pic:pic>
              </a:graphicData>
            </a:graphic>
          </wp:inline>
        </w:drawing>
      </w:r>
    </w:p>
    <w:p>
      <w:pPr>
        <w:keepNext/>
        <w:spacing w:before="40" w:after="200"/>
        <w:jc w:val="center"/>
      </w:pPr>
      <w:r>
        <w:rPr>
          <w:rFonts w:ascii="Times New Roman" w:hAnsi="Times New Roman"/>
          <w:b/>
          <w:sz w:val="21"/>
        </w:rPr>
        <w:t>Figure B.1: Overview Monitoring Dashboard Real-Time Telemetry Interface</w:t>
      </w:r>
    </w:p>
    <w:p>
      <w:pPr>
        <w:keepNext/>
        <w:spacing w:before="200" w:after="120"/>
        <w:jc w:val="left"/>
      </w:pPr>
      <w:r>
        <w:rPr>
          <w:rFonts w:ascii="Times New Roman" w:hAnsi="Times New Roman"/>
          <w:b/>
          <w:color w:val="000000"/>
          <w:sz w:val="26"/>
        </w:rPr>
        <w:t>B.2 Interactive Leaflet OpenStreetMap GIS Interface</w:t>
      </w:r>
    </w:p>
    <w:p>
      <w:pPr>
        <w:spacing w:before="160" w:after="80"/>
        <w:jc w:val="center"/>
      </w:pPr>
      <w:r>
        <w:drawing>
          <wp:inline xmlns:a="http://schemas.openxmlformats.org/drawingml/2006/main" xmlns:pic="http://schemas.openxmlformats.org/drawingml/2006/picture">
            <wp:extent cx="5303520" cy="2864348"/>
            <wp:docPr id="14" name="Picture 14"/>
            <wp:cNvGraphicFramePr>
              <a:graphicFrameLocks noChangeAspect="1"/>
            </wp:cNvGraphicFramePr>
            <a:graphic>
              <a:graphicData uri="http://schemas.openxmlformats.org/drawingml/2006/picture">
                <pic:pic>
                  <pic:nvPicPr>
                    <pic:cNvPr id="0" name="dashboard_map_screenshot.png"/>
                    <pic:cNvPicPr/>
                  </pic:nvPicPr>
                  <pic:blipFill>
                    <a:blip r:embed="rId22"/>
                    <a:stretch>
                      <a:fillRect/>
                    </a:stretch>
                  </pic:blipFill>
                  <pic:spPr>
                    <a:xfrm>
                      <a:off x="0" y="0"/>
                      <a:ext cx="5303520" cy="2864348"/>
                    </a:xfrm>
                    <a:prstGeom prst="rect"/>
                  </pic:spPr>
                </pic:pic>
              </a:graphicData>
            </a:graphic>
          </wp:inline>
        </w:drawing>
      </w:r>
    </w:p>
    <w:p>
      <w:pPr>
        <w:keepNext/>
        <w:spacing w:before="40" w:after="200"/>
        <w:jc w:val="center"/>
      </w:pPr>
      <w:r>
        <w:rPr>
          <w:rFonts w:ascii="Times New Roman" w:hAnsi="Times New Roman"/>
          <w:b/>
          <w:sz w:val="21"/>
        </w:rPr>
        <w:t>Figure B.2: Interactive Leaflet OpenStreetMap Geographic Traffic Visualization</w:t>
      </w:r>
    </w:p>
    <w:p>
      <w:pPr>
        <w:keepNext/>
        <w:spacing w:before="200" w:after="120"/>
        <w:jc w:val="left"/>
      </w:pPr>
      <w:r>
        <w:rPr>
          <w:rFonts w:ascii="Times New Roman" w:hAnsi="Times New Roman"/>
          <w:b/>
          <w:color w:val="000000"/>
          <w:sz w:val="26"/>
        </w:rPr>
        <w:t>B.3 Live IoT Telemetry Stream &amp; Incident Controls</w:t>
      </w:r>
    </w:p>
    <w:p>
      <w:pPr>
        <w:spacing w:before="160" w:after="80"/>
        <w:jc w:val="center"/>
      </w:pPr>
      <w:r>
        <w:drawing>
          <wp:inline xmlns:a="http://schemas.openxmlformats.org/drawingml/2006/main" xmlns:pic="http://schemas.openxmlformats.org/drawingml/2006/picture">
            <wp:extent cx="5303520" cy="2864348"/>
            <wp:docPr id="15" name="Picture 15"/>
            <wp:cNvGraphicFramePr>
              <a:graphicFrameLocks noChangeAspect="1"/>
            </wp:cNvGraphicFramePr>
            <a:graphic>
              <a:graphicData uri="http://schemas.openxmlformats.org/drawingml/2006/picture">
                <pic:pic>
                  <pic:nvPicPr>
                    <pic:cNvPr id="0" name="dashboard_monitoring_screenshot.png"/>
                    <pic:cNvPicPr/>
                  </pic:nvPicPr>
                  <pic:blipFill>
                    <a:blip r:embed="rId23"/>
                    <a:stretch>
                      <a:fillRect/>
                    </a:stretch>
                  </pic:blipFill>
                  <pic:spPr>
                    <a:xfrm>
                      <a:off x="0" y="0"/>
                      <a:ext cx="5303520" cy="2864348"/>
                    </a:xfrm>
                    <a:prstGeom prst="rect"/>
                  </pic:spPr>
                </pic:pic>
              </a:graphicData>
            </a:graphic>
          </wp:inline>
        </w:drawing>
      </w:r>
    </w:p>
    <w:p>
      <w:pPr>
        <w:keepNext/>
        <w:spacing w:before="40" w:after="200"/>
        <w:jc w:val="center"/>
      </w:pPr>
      <w:r>
        <w:rPr>
          <w:rFonts w:ascii="Times New Roman" w:hAnsi="Times New Roman"/>
          <w:b/>
          <w:sz w:val="21"/>
        </w:rPr>
        <w:t>Figure B.3: Live IoT Sensor Telemetry Stream and Incident Simulation Control Panel</w:t>
      </w:r>
    </w:p>
    <w:p>
      <w:pPr>
        <w:keepNext/>
        <w:spacing w:before="200" w:after="120"/>
        <w:jc w:val="left"/>
      </w:pPr>
      <w:r>
        <w:rPr>
          <w:rFonts w:ascii="Times New Roman" w:hAnsi="Times New Roman"/>
          <w:b/>
          <w:color w:val="000000"/>
          <w:sz w:val="26"/>
        </w:rPr>
        <w:t>B.4 Real-Time Prediction Sandbox &amp; Explainability Feed</w:t>
      </w:r>
    </w:p>
    <w:p>
      <w:pPr>
        <w:spacing w:before="160" w:after="80"/>
        <w:jc w:val="center"/>
      </w:pPr>
      <w:r>
        <w:drawing>
          <wp:inline xmlns:a="http://schemas.openxmlformats.org/drawingml/2006/main" xmlns:pic="http://schemas.openxmlformats.org/drawingml/2006/picture">
            <wp:extent cx="5303520" cy="2864348"/>
            <wp:docPr id="16" name="Picture 16"/>
            <wp:cNvGraphicFramePr>
              <a:graphicFrameLocks noChangeAspect="1"/>
            </wp:cNvGraphicFramePr>
            <a:graphic>
              <a:graphicData uri="http://schemas.openxmlformats.org/drawingml/2006/picture">
                <pic:pic>
                  <pic:nvPicPr>
                    <pic:cNvPr id="0" name="dashboard_prediction_screenshot.png"/>
                    <pic:cNvPicPr/>
                  </pic:nvPicPr>
                  <pic:blipFill>
                    <a:blip r:embed="rId24"/>
                    <a:stretch>
                      <a:fillRect/>
                    </a:stretch>
                  </pic:blipFill>
                  <pic:spPr>
                    <a:xfrm>
                      <a:off x="0" y="0"/>
                      <a:ext cx="5303520" cy="2864348"/>
                    </a:xfrm>
                    <a:prstGeom prst="rect"/>
                  </pic:spPr>
                </pic:pic>
              </a:graphicData>
            </a:graphic>
          </wp:inline>
        </w:drawing>
      </w:r>
    </w:p>
    <w:p>
      <w:pPr>
        <w:keepNext/>
        <w:spacing w:before="40" w:after="200"/>
        <w:jc w:val="center"/>
      </w:pPr>
      <w:r>
        <w:rPr>
          <w:rFonts w:ascii="Times New Roman" w:hAnsi="Times New Roman"/>
          <w:b/>
          <w:sz w:val="21"/>
        </w:rPr>
        <w:t>Figure B.4: Real-Time Machine Learning Prediction Sandbox and Explainability Feed</w:t>
      </w:r>
    </w:p>
    <w:p>
      <w:pPr>
        <w:keepNext/>
        <w:spacing w:before="200" w:after="120"/>
        <w:jc w:val="left"/>
      </w:pPr>
      <w:r>
        <w:rPr>
          <w:rFonts w:ascii="Times New Roman" w:hAnsi="Times New Roman"/>
          <w:b/>
          <w:color w:val="000000"/>
          <w:sz w:val="26"/>
        </w:rPr>
        <w:t>B.5 Confusion Matrix Consistency Verification</w:t>
      </w:r>
    </w:p>
    <w:p>
      <w:pPr>
        <w:spacing w:after="120" w:line="276" w:lineRule="auto"/>
        <w:jc w:val="both"/>
      </w:pPr>
      <w:r>
        <w:rPr>
          <w:rFonts w:ascii="Times New Roman" w:hAnsi="Times New Roman"/>
          <w:b w:val="0"/>
          <w:i w:val="0"/>
          <w:color w:val="000000"/>
          <w:sz w:val="24"/>
        </w:rPr>
        <w:t>Table B.1 recomputes test accuracy from the multi-class confusion matrix counts (8,060 test observations), verifying 100% agreement with serialized metrics.</w:t>
      </w:r>
    </w:p>
    <w:tbl>
      <w:tblPr>
        <w:tblW w:type="auto" w:w="0"/>
        <w:jc w:val="center"/>
        <w:tblLook w:firstColumn="1" w:firstRow="1" w:lastColumn="0" w:lastRow="0" w:noHBand="0" w:noVBand="1" w:val="04A0"/>
      </w:tblPr>
      <w:tblGrid>
        <w:gridCol w:w="2167"/>
        <w:gridCol w:w="2167"/>
        <w:gridCol w:w="2167"/>
        <w:gridCol w:w="2167"/>
      </w:tblGrid>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Model Architecture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Correct Predictions</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Total Test Samples</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Recomputed Accuracy</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Dummy Baseline (Most Frequent)</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5,030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8,060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62.41%</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Logistic Regression</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6,977</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8,060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86.56%</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Random Forest (100 Trees)</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7,282</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8,060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90.35%</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HistGBM Classifier (Production)</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7,271</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8,060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90.21%</w:t>
            </w:r>
          </w:p>
        </w:tc>
      </w:tr>
    </w:tbl>
    <w:p>
      <w:pPr>
        <w:spacing w:before="80" w:after="240"/>
        <w:jc w:val="center"/>
      </w:pPr>
      <w:r>
        <w:rPr>
          <w:rFonts w:ascii="Times New Roman" w:hAnsi="Times New Roman"/>
          <w:b/>
          <w:sz w:val="21"/>
        </w:rPr>
        <w:t>Table B.1: Confusion Matrix Consistency and Accuracy Verification Across Classes</w:t>
      </w:r>
    </w:p>
    <w:p>
      <w:pPr>
        <w:spacing w:after="120" w:line="276" w:lineRule="auto"/>
        <w:jc w:val="both"/>
      </w:pPr>
      <w:r>
        <w:rPr>
          <w:rFonts w:ascii="Times New Roman" w:hAnsi="Times New Roman"/>
          <w:b w:val="0"/>
          <w:i w:val="0"/>
          <w:color w:val="000000"/>
          <w:sz w:val="24"/>
        </w:rPr>
        <w:t>Table B.2 details per-class precision, recall, and F1-scores for the production HistGBM classifier.</w:t>
      </w:r>
    </w:p>
    <w:tbl>
      <w:tblPr>
        <w:tblW w:type="auto" w:w="0"/>
        <w:jc w:val="center"/>
        <w:tblLook w:firstColumn="1" w:firstRow="1" w:lastColumn="0" w:lastRow="0" w:noHBand="0" w:noVBand="1" w:val="04A0"/>
      </w:tblPr>
      <w:tblGrid>
        <w:gridCol w:w="2167"/>
        <w:gridCol w:w="2167"/>
        <w:gridCol w:w="2167"/>
        <w:gridCol w:w="2167"/>
      </w:tblGrid>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Level of Service Category</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Precision</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Recall</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b/>
                <w:sz w:val="20"/>
              </w:rPr>
              <w:t>F1-Score</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Free Flow (LOS A/B)</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0.938</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0.985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0.961</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Moderate (LOS C/D)</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0.852</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0.835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0.843</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Heavy (LOS E)</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0.710</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0.685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0.697</w:t>
            </w:r>
          </w:p>
        </w:tc>
      </w:tr>
      <w:tr>
        <w:trPr>
          <w:cantSplit/>
        </w:trPr>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Severe (LOS F Gridlock)</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0.626</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0.565</w:t>
            </w:r>
          </w:p>
        </w:tc>
        <w:tc>
          <w:tcPr>
            <w:tcW w:type="dxa" w:w="2167"/>
            <w:vAlign w:val="center"/>
            <w:tcBorders>
              <w:top w:val="single" w:sz="6" w:space="0" w:color="000000"/>
              <w:left w:val="single" w:sz="6" w:space="0" w:color="000000"/>
              <w:bottom w:val="single" w:sz="6" w:space="0" w:color="000000"/>
              <w:right w:val="single" w:sz="6" w:space="0" w:color="000000"/>
            </w:tcBorders>
            <w:tcMar>
              <w:top w:w="120" w:type="dxa"/>
              <w:bottom w:w="120" w:type="dxa"/>
              <w:left w:w="160" w:type="dxa"/>
              <w:right w:w="160" w:type="dxa"/>
            </w:tcMar>
          </w:tcPr>
          <w:p>
            <w:pPr>
              <w:jc w:val="center"/>
            </w:pPr>
            <w:r>
              <w:rPr>
                <w:rFonts w:ascii="Times New Roman" w:hAnsi="Times New Roman"/>
                <w:sz w:val="20"/>
              </w:rPr>
              <w:t>0.590</w:t>
            </w:r>
          </w:p>
        </w:tc>
      </w:tr>
    </w:tbl>
    <w:p>
      <w:pPr>
        <w:spacing w:before="80" w:after="240"/>
        <w:jc w:val="center"/>
      </w:pPr>
      <w:r>
        <w:rPr>
          <w:rFonts w:ascii="Times New Roman" w:hAnsi="Times New Roman"/>
          <w:b/>
          <w:sz w:val="21"/>
        </w:rPr>
        <w:t>Table B.2: Per-Class Precision, Recall, and F1-Scores for HistGBM Classifier</w:t>
      </w:r>
    </w:p>
    <w:p>
      <w:r>
        <w:br w:type="page"/>
      </w:r>
    </w:p>
    <w:p>
      <w:pPr>
        <w:keepNext/>
        <w:spacing w:before="240" w:after="240"/>
        <w:jc w:val="left"/>
      </w:pPr>
      <w:r>
        <w:rPr>
          <w:rFonts w:ascii="Times New Roman" w:hAnsi="Times New Roman"/>
          <w:b/>
          <w:color w:val="000000"/>
          <w:sz w:val="30"/>
        </w:rPr>
        <w:t>APPENDIX C – PROJECT REPOSITORY &amp; DEPLOYMENT INSTRUCTIONS</w:t>
      </w:r>
    </w:p>
    <w:p>
      <w:pPr>
        <w:spacing w:after="240" w:line="276" w:lineRule="auto"/>
        <w:jc w:val="both"/>
      </w:pPr>
      <w:r>
        <w:rPr>
          <w:rFonts w:ascii="Times New Roman" w:hAnsi="Times New Roman"/>
          <w:b w:val="0"/>
          <w:i w:val="0"/>
          <w:color w:val="000000"/>
          <w:sz w:val="24"/>
        </w:rPr>
        <w:t>Repository Name: UrbanFlow-AI-Traffic-Congestion-Prediction</w:t>
        <w:br/>
        <w:t>GitHub URL: https://github.com/saikriz898/UrbanFlow-AI-Traffic-Congestion-Prediction.git</w:t>
      </w:r>
    </w:p>
    <w:p>
      <w:pPr>
        <w:spacing w:after="240" w:line="276" w:lineRule="auto"/>
        <w:jc w:val="both"/>
      </w:pPr>
      <w:r>
        <w:rPr>
          <w:rFonts w:ascii="Times New Roman" w:hAnsi="Times New Roman"/>
          <w:b w:val="0"/>
          <w:i w:val="0"/>
          <w:color w:val="000000"/>
          <w:sz w:val="24"/>
        </w:rPr>
        <w:t>C.1 Complete Directory Structure</w:t>
        <w:br/>
        <w:br/>
        <w:t>UrbanFlow-AI/</w:t>
        <w:br/>
        <w:t>├── backend/</w:t>
        <w:br/>
        <w:t>│   ├── api/routes.py, websocket.py</w:t>
        <w:br/>
        <w:t>│   ├── database/connection.py, crud.py, seed.py</w:t>
        <w:br/>
        <w:t>│   ├── streaming/engine.py, sensor_simulator.py</w:t>
        <w:br/>
        <w:t>│   ├── tests/run_tests.py, test_api.py, test_feature_engineering.py</w:t>
        <w:br/>
        <w:t>│   ├── app.py, traffic_analytics.db</w:t>
        <w:br/>
        <w:t>├── data/generate_dataset.py, raw/traffic_sensor_dataset.csv</w:t>
        <w:br/>
        <w:t>├── docs/METHODOLOGY.md, ARCHITECTURE.md, DATABASE_SCHEMA.md</w:t>
        <w:br/>
        <w:t>├── frontend/src/App.tsx, components/Navbar.tsx, pages/*.tsx</w:t>
        <w:br/>
        <w:t>├── ml/train_model.py, evaluate_model.py, predict.py, models/*.joblib</w:t>
        <w:br/>
        <w:t>├── outputs/figures/*.png, metrics/*.json</w:t>
        <w:br/>
        <w:t>└── requirements.txt, README.md</w:t>
      </w:r>
    </w:p>
    <w:p>
      <w:pPr>
        <w:spacing w:after="240" w:line="276" w:lineRule="auto"/>
        <w:jc w:val="both"/>
      </w:pPr>
      <w:r>
        <w:rPr>
          <w:rFonts w:ascii="Times New Roman" w:hAnsi="Times New Roman"/>
          <w:b w:val="0"/>
          <w:i w:val="0"/>
          <w:color w:val="000000"/>
          <w:sz w:val="24"/>
        </w:rPr>
        <w:t>C.2 Execution &amp; Deployment Instructions</w:t>
        <w:br/>
        <w:br/>
        <w:t># 1. Install Dependencies:</w:t>
        <w:br/>
        <w:t>pip install -r requirements.txt</w:t>
        <w:br/>
        <w:t>cd frontend &amp;&amp; npm install &amp;&amp; cd ..</w:t>
        <w:br/>
        <w:br/>
        <w:t># 2. Run Training &amp; Verification Pipeline:</w:t>
        <w:br/>
        <w:t>python data/generate_dataset.py</w:t>
        <w:br/>
        <w:t>python ml/train_model.py</w:t>
        <w:br/>
        <w:t>python ml/evaluate_model.py</w:t>
        <w:br/>
        <w:t>python backend/database/seed.py</w:t>
        <w:br/>
        <w:t>python backend/tests/run_tests.py</w:t>
        <w:br/>
        <w:br/>
        <w:t># 3. Launch Operational Servers:</w:t>
        <w:br/>
        <w:t>python backend/app.py       # FastAPI Server on http://localhost:8000</w:t>
        <w:br/>
        <w:t>cd frontend &amp;&amp; npm run dev  # Vite Dashboard on http://localhost:5173</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