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 the EMS domain model.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 must include: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room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speaker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ticket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attendee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sponsor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exhibitor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Describe relationships and constraints.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Write to: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ems/docs/domain-model.md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