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Perform QC-M3 for Milestone-3.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Streams included: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Stream-5 (Agenda &amp; Speakers)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Stream-6 (Exhibitors &amp; Sponsors)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Stream-7 (Attendee Experience)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ems/services/agenda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ems/services/speaker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ems/services/exhibitor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ems/services/sponsor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ems/services/attendee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ems/services/networking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ems/services/engagement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Sessions correctly linked to events and rooms.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Speaker assignments valid and conflict-safe.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Exhibitors assigned to booths.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Sponsor tiers correctly implemented.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 Lead capture integrated with attendees.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6. Attendee profiles linked to registrations.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7. Attendee networking functions correctly.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8. Attendee schedules correctly reference sessions.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9. Engagement systems work: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polls, Q&amp;A, surveys.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10. Kafka events emitted for operational actions.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11. APIs follow platform API standards.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12. Tenant isolation enforced across all services.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Inspect services and APIs.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Automatically fix issues found.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Re-evaluate until compliant.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MILESTONE-3 QC REPORT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agenda system: X/10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speaker management: X/10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exhibitor management: X/10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sponsor system: X/10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lead capture: X/10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attendee profiles: X/10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networking: X/10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attendee schedules: X/10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engagement tools: X/10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event streaming: X/10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API compliance: X/10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tenant isolation: X/10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Repeat fixes until **all scores = 10/10**.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