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Audit cross-module integration.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 Audit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event producers vs consumers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workflow alignment with docs/workflows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read models vs docs/canon/read-model-catalog.md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API contract consistency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2 Fix issues.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3 Re-Audit.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4 Fix remaining issues.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5 Score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Rate 1–10 for: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service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event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workflow alignment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read model correctness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Fix until all reach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