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200"/>
        <w:jc w:val="center"/>
      </w:pPr>
      <w:r>
        <w:rPr>
          <w:rFonts w:ascii="Arial" w:cs="Arial" w:eastAsia="Arial" w:hAnsi="Arial"/>
          <w:b/>
          <w:bCs/>
          <w:color w:val="FFFFFF"/>
          <w:sz w:val="36"/>
          <w:szCs w:val="36"/>
        </w:rPr>
        <w:t xml:space="preserve">MINERAL DETECTION &amp; MINING INTELLIGENCE SYSTEM</w:t>
      </w:r>
    </w:p>
    <w:p>
      <w:pPr>
        <w:shd w:fill="2E75B6" w:val="clear"/>
        <w:spacing w:after="0" w:before="0"/>
        <w:jc w:val="center"/>
      </w:pPr>
      <w:r>
        <w:rPr>
          <w:rFonts w:ascii="Arial" w:cs="Arial" w:eastAsia="Arial" w:hAnsi="Arial"/>
          <w:i/>
          <w:iCs/>
          <w:color w:val="FFFFFF"/>
          <w:sz w:val="22"/>
          <w:szCs w:val="22"/>
        </w:rPr>
        <w:t xml:space="preserve">Competitive Landscape &amp; Intellectual Property Safety</w:t>
      </w:r>
    </w:p>
    <w:p>
      <w:pPr>
        <w:shd w:fill="D6E4F0" w:val="clear"/>
        <w:spacing w:after="280" w:before="0"/>
        <w:jc w:val="center"/>
      </w:pPr>
      <w:r>
        <w:rPr>
          <w:rFonts w:ascii="Arial" w:cs="Arial" w:eastAsia="Arial" w:hAnsi="Arial"/>
          <w:color w:val="2E75B6"/>
          <w:sz w:val="18"/>
          <w:szCs w:val="18"/>
        </w:rPr>
        <w:t xml:space="preserve">Kigali, Rwanda  |  2026  |  Commercial Deployment</w:t>
      </w:r>
    </w:p>
    <w:p>
      <w:pPr>
        <w:pBdr>
          <w:bottom w:val="single" w:color="2E75B6" w:sz="8" w:space="3"/>
        </w:pBdr>
        <w:spacing w:after="100" w:before="220"/>
      </w:pPr>
      <w:r>
        <w:rPr>
          <w:rFonts w:ascii="Arial" w:cs="Arial" w:eastAsia="Arial" w:hAnsi="Arial"/>
          <w:b/>
          <w:bCs/>
          <w:color w:val="1F4E79"/>
          <w:sz w:val="28"/>
          <w:szCs w:val="28"/>
        </w:rPr>
        <w:t xml:space="preserve">1. Executive Summary</w:t>
      </w:r>
    </w:p>
    <w:p>
      <w:pPr>
        <w:spacing w:after="80" w:before="40"/>
      </w:pPr>
      <w:r>
        <w:rPr>
          <w:rFonts w:ascii="Arial" w:cs="Arial" w:eastAsia="Arial" w:hAnsi="Arial"/>
          <w:color w:val="1A1A1A"/>
          <w:sz w:val="20"/>
          <w:szCs w:val="20"/>
        </w:rPr>
        <w:t xml:space="preserve">No system comparable to MDMIS exists in Rwanda or the East African region. The platforms operating in the mining sector today — iTSCi, Farmonaut, and RMB — were all built to digitise paperwork: tracking minerals after they have been extracted. None of them use Artificial Intelligence, Machine Learning, drone-based sensing, or geological intelligence of any kind.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VERDICT</w:t>
            </w:r>
          </w:p>
        </w:tc>
        <w:tc>
          <w:tcPr>
            <w:tcW w:type="dxa" w:w="82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40"/>
            </w:tcMar>
          </w:tcPr>
          <w:p>
            <w:r>
              <w:rPr>
                <w:rFonts w:ascii="Arial" w:cs="Arial" w:eastAsia="Arial" w:hAnsi="Arial"/>
                <w:i/>
                <w:iCs/>
                <w:color w:val="1A1A1A"/>
                <w:sz w:val="20"/>
                <w:szCs w:val="20"/>
              </w:rPr>
              <w:t xml:space="preserve">MDMIS is not competing with existing tools. It operates in a product category that does not yet exist in this market — pre-extraction mineral detection powered by AI and sensor fusion.</w:t>
            </w:r>
          </w:p>
        </w:tc>
      </w:tr>
    </w:tbl>
    <w:p>
      <w:pPr>
        <w:spacing w:after="60" w:before="60"/>
      </w:pPr>
      <w:r>
        <w:t xml:space="preserve"/>
      </w:r>
    </w:p>
    <w:p>
      <w:pPr>
        <w:pBdr>
          <w:bottom w:val="single" w:color="2E75B6" w:sz="8" w:space="3"/>
        </w:pBdr>
        <w:spacing w:after="100" w:before="220"/>
      </w:pPr>
      <w:r>
        <w:rPr>
          <w:rFonts w:ascii="Arial" w:cs="Arial" w:eastAsia="Arial" w:hAnsi="Arial"/>
          <w:b/>
          <w:bCs/>
          <w:color w:val="1F4E79"/>
          <w:sz w:val="28"/>
          <w:szCs w:val="28"/>
        </w:rPr>
        <w:t xml:space="preserve">2. What Existing Systems Do</w:t>
      </w:r>
    </w:p>
    <w:p>
      <w:pPr>
        <w:spacing w:after="60" w:before="160"/>
      </w:pPr>
      <w:r>
        <w:rPr>
          <w:rFonts w:ascii="Arial" w:cs="Arial" w:eastAsia="Arial" w:hAnsi="Arial"/>
          <w:b/>
          <w:bCs/>
          <w:color w:val="2E75B6"/>
          <w:sz w:val="23"/>
          <w:szCs w:val="23"/>
        </w:rPr>
        <w:t xml:space="preserve">iTSCi (ITRI Tin Supply Chain Initiative)</w:t>
      </w:r>
    </w:p>
    <w:p>
      <w:pPr>
        <w:spacing w:after="80" w:before="40"/>
      </w:pPr>
      <w:r>
        <w:rPr>
          <w:rFonts w:ascii="Arial" w:cs="Arial" w:eastAsia="Arial" w:hAnsi="Arial"/>
          <w:color w:val="1A1A1A"/>
          <w:sz w:val="20"/>
          <w:szCs w:val="20"/>
        </w:rPr>
        <w:t xml:space="preserve">A government agent physically tags a bag of minerals at a mine site and logs it manually into a database. Downstream buyers check tag numbers for chain-of-custody. No AI, no sensors, no detection. It answers one question: where did this bag come from? It cannot tell you what is in the ground, whether a site is safe, or whether a mineral has been misclassified.</w:t>
      </w:r>
    </w:p>
    <w:p>
      <w:pPr>
        <w:spacing w:after="60" w:before="160"/>
      </w:pPr>
      <w:r>
        <w:rPr>
          <w:rFonts w:ascii="Arial" w:cs="Arial" w:eastAsia="Arial" w:hAnsi="Arial"/>
          <w:b/>
          <w:bCs/>
          <w:color w:val="2E75B6"/>
          <w:sz w:val="23"/>
          <w:szCs w:val="23"/>
        </w:rPr>
        <w:t xml:space="preserve">Farmonaut</w:t>
      </w:r>
    </w:p>
    <w:p>
      <w:pPr>
        <w:spacing w:after="80" w:before="40"/>
      </w:pPr>
      <w:r>
        <w:rPr>
          <w:rFonts w:ascii="Arial" w:cs="Arial" w:eastAsia="Arial" w:hAnsi="Arial"/>
          <w:color w:val="1A1A1A"/>
          <w:sz w:val="20"/>
          <w:szCs w:val="20"/>
        </w:rPr>
        <w:t xml:space="preserve">Satellite imagery for agricultural soil monitoring — measuring nitrogen and chlorophyll for farmers. Their 'mineral' analysis is basic index calculations done with fixed formulas. Built entirely for agriculture, not mining, and has no presence in Rwanda's mineral supply chain.</w:t>
      </w:r>
    </w:p>
    <w:p>
      <w:pPr>
        <w:spacing w:after="60" w:before="160"/>
      </w:pPr>
      <w:r>
        <w:rPr>
          <w:rFonts w:ascii="Arial" w:cs="Arial" w:eastAsia="Arial" w:hAnsi="Arial"/>
          <w:b/>
          <w:bCs/>
          <w:color w:val="2E75B6"/>
          <w:sz w:val="23"/>
          <w:szCs w:val="23"/>
        </w:rPr>
        <w:t xml:space="preserve">Rwanda Mines Board (RMB)</w:t>
      </w:r>
    </w:p>
    <w:p>
      <w:pPr>
        <w:spacing w:after="80" w:before="40"/>
      </w:pPr>
      <w:r>
        <w:rPr>
          <w:rFonts w:ascii="Arial" w:cs="Arial" w:eastAsia="Arial" w:hAnsi="Arial"/>
          <w:color w:val="1A1A1A"/>
          <w:sz w:val="20"/>
          <w:szCs w:val="20"/>
        </w:rPr>
        <w:t xml:space="preserve">A government regulatory body. Issues licences, conducts manual site inspections, maintains compliance records. Their software is a licensing database. No sensor integration, no AI, no automated analysis of any kind.</w:t>
      </w:r>
    </w:p>
    <w:p>
      <w:pPr>
        <w:spacing w:after="60" w:before="60"/>
      </w:pPr>
      <w:r>
        <w:t xml:space="preserve"/>
      </w:r>
    </w:p>
    <w:p>
      <w:pPr>
        <w:pBdr>
          <w:bottom w:val="single" w:color="2E75B6" w:sz="8" w:space="3"/>
        </w:pBdr>
        <w:spacing w:after="100" w:before="220"/>
      </w:pPr>
      <w:r>
        <w:rPr>
          <w:rFonts w:ascii="Arial" w:cs="Arial" w:eastAsia="Arial" w:hAnsi="Arial"/>
          <w:b/>
          <w:bCs/>
          <w:color w:val="1F4E79"/>
          <w:sz w:val="28"/>
          <w:szCs w:val="28"/>
        </w:rPr>
        <w:t xml:space="preserve">3. MDMIS vs. Established Solutions</w:t>
      </w:r>
    </w:p>
    <w:p>
      <w:pPr>
        <w:spacing w:after="80" w:before="40"/>
      </w:pPr>
      <w:r>
        <w:rPr>
          <w:rFonts w:ascii="Arial" w:cs="Arial" w:eastAsia="Arial" w:hAnsi="Arial"/>
          <w:color w:val="1A1A1A"/>
          <w:sz w:val="20"/>
          <w:szCs w:val="20"/>
        </w:rPr>
        <w:t xml:space="preserve">The table below compares core capabilities across every relevant player in this market: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60"/>
        <w:gridCol w:w="1360"/>
        <w:gridCol w:w="1220"/>
        <w:gridCol w:w="142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Capability</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iTSCi</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Farmonaut</w:t>
            </w:r>
          </w:p>
        </w:tc>
        <w:tc>
          <w:tcPr>
            <w:tcW w:type="dxa" w:w="1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RMB</w:t>
            </w:r>
          </w:p>
        </w:tc>
        <w:tc>
          <w:tcPr>
            <w:tcW w:type="dxa" w:w="142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MDMIS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1A1A1A"/>
                <w:sz w:val="19"/>
                <w:szCs w:val="19"/>
              </w:rPr>
              <w:t xml:space="preserve">Detect minerals before extraction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4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19"/>
                <w:szCs w:val="19"/>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1A1A1A"/>
                <w:sz w:val="19"/>
                <w:szCs w:val="19"/>
              </w:rPr>
              <w:t xml:space="preserve">AI / ML mineral classification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4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19"/>
                <w:szCs w:val="19"/>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1A1A1A"/>
                <w:sz w:val="19"/>
                <w:szCs w:val="19"/>
              </w:rPr>
              <w:t xml:space="preserve">Drone + hyperspectral scanning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4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19"/>
                <w:szCs w:val="19"/>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1A1A1A"/>
                <w:sz w:val="19"/>
                <w:szCs w:val="19"/>
              </w:rPr>
              <w:t xml:space="preserve">3D subsurface mapping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4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19"/>
                <w:szCs w:val="19"/>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1A1A1A"/>
                <w:sz w:val="19"/>
                <w:szCs w:val="19"/>
              </w:rPr>
              <w:t xml:space="preserve">Real-time safety risk scoring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4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19"/>
                <w:szCs w:val="19"/>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1A1A1A"/>
                <w:sz w:val="19"/>
                <w:szCs w:val="19"/>
              </w:rPr>
              <w:t xml:space="preserve">Post-extraction traceability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7145"/>
                <w:sz w:val="19"/>
                <w:szCs w:val="19"/>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9"/>
                <w:szCs w:val="19"/>
              </w:rPr>
              <w:t xml:space="preserve">Partial</w:t>
            </w:r>
          </w:p>
        </w:tc>
        <w:tc>
          <w:tcPr>
            <w:tcW w:type="dxa" w:w="14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19"/>
                <w:szCs w:val="19"/>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1A1A1A"/>
                <w:sz w:val="19"/>
                <w:szCs w:val="19"/>
              </w:rPr>
              <w:t xml:space="preserve">Live commodity price integration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BBBBB"/>
                <w:sz w:val="19"/>
                <w:szCs w:val="19"/>
              </w:rPr>
              <w:t xml:space="preserve">✗</w:t>
            </w:r>
          </w:p>
        </w:tc>
        <w:tc>
          <w:tcPr>
            <w:tcW w:type="dxa" w:w="14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7145"/>
                <w:sz w:val="19"/>
                <w:szCs w:val="19"/>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DIFFERENCE</w:t>
            </w:r>
          </w:p>
        </w:tc>
        <w:tc>
          <w:tcPr>
            <w:tcW w:type="dxa" w:w="82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40"/>
            </w:tcMar>
          </w:tcPr>
          <w:p>
            <w:r>
              <w:rPr>
                <w:rFonts w:ascii="Arial" w:cs="Arial" w:eastAsia="Arial" w:hAnsi="Arial"/>
                <w:i/>
                <w:iCs/>
                <w:color w:val="1A1A1A"/>
                <w:sz w:val="20"/>
                <w:szCs w:val="20"/>
              </w:rPr>
              <w:t xml:space="preserve">Every existing system starts after the mineral is already dug up. MDMIS starts before the first shovel hits the ground and covers the entire lifecycle through to export compliance. This is not an improvement on existing tools — it is a different product category.</w:t>
            </w:r>
          </w:p>
        </w:tc>
      </w:tr>
    </w:tbl>
    <w:p>
      <w:pPr>
        <w:spacing w:after="60" w:before="60"/>
      </w:pPr>
      <w:r>
        <w:t xml:space="preserve"/>
      </w:r>
    </w:p>
    <w:p>
      <w:pPr>
        <w:pBdr>
          <w:bottom w:val="single" w:color="2E75B6" w:sz="8" w:space="3"/>
        </w:pBdr>
        <w:spacing w:after="100" w:before="220"/>
      </w:pPr>
      <w:r>
        <w:rPr>
          <w:rFonts w:ascii="Arial" w:cs="Arial" w:eastAsia="Arial" w:hAnsi="Arial"/>
          <w:b/>
          <w:bCs/>
          <w:color w:val="1F4E79"/>
          <w:sz w:val="28"/>
          <w:szCs w:val="28"/>
        </w:rPr>
        <w:t xml:space="preserve">4. The AI/ML Gap — The Sharpest Edge</w:t>
      </w:r>
    </w:p>
    <w:p>
      <w:pPr>
        <w:spacing w:after="80" w:before="40"/>
      </w:pPr>
      <w:r>
        <w:rPr>
          <w:rFonts w:ascii="Arial" w:cs="Arial" w:eastAsia="Arial" w:hAnsi="Arial"/>
          <w:color w:val="1A1A1A"/>
          <w:sz w:val="20"/>
          <w:szCs w:val="20"/>
        </w:rPr>
        <w:t xml:space="preserve">Almost no mining platform in this region has ever incorporated machine learning. Existing systems were built to digitise what humans were already doing manually — and stopped there. Here is what that gap looks like in practice:</w:t>
      </w:r>
    </w:p>
    <w:p>
      <w:pPr>
        <w:spacing w:after="60" w:before="60"/>
      </w:pPr>
      <w:r>
        <w:t xml:space="preserve"/>
      </w:r>
    </w:p>
    <w:p>
      <w:pPr>
        <w:pStyle w:val="ListParagraph"/>
        <w:numPr>
          <w:ilvl w:val="0"/>
          <w:numId w:val="2"/>
        </w:numPr>
        <w:spacing w:after="30" w:before="30"/>
      </w:pPr>
      <w:r>
        <w:rPr>
          <w:rFonts w:ascii="Arial" w:cs="Arial" w:eastAsia="Arial" w:hAnsi="Arial"/>
          <w:b/>
          <w:bCs/>
          <w:color w:val="1A1A1A"/>
          <w:sz w:val="20"/>
          <w:szCs w:val="20"/>
        </w:rPr>
        <w:t xml:space="preserve">iTSCi: </w:t>
      </w:r>
      <w:r>
        <w:rPr>
          <w:rFonts w:ascii="Arial" w:cs="Arial" w:eastAsia="Arial" w:hAnsi="Arial"/>
          <w:color w:val="1A1A1A"/>
          <w:sz w:val="20"/>
          <w:szCs w:val="20"/>
        </w:rPr>
        <w:t xml:space="preserve">A human inspector decides if something looks suspicious. The software is a record-keeper, not a decision-maker.</w:t>
      </w:r>
    </w:p>
    <w:p>
      <w:pPr>
        <w:pStyle w:val="ListParagraph"/>
        <w:numPr>
          <w:ilvl w:val="0"/>
          <w:numId w:val="2"/>
        </w:numPr>
        <w:spacing w:after="30" w:before="30"/>
      </w:pPr>
      <w:r>
        <w:rPr>
          <w:rFonts w:ascii="Arial" w:cs="Arial" w:eastAsia="Arial" w:hAnsi="Arial"/>
          <w:b/>
          <w:bCs/>
          <w:color w:val="1A1A1A"/>
          <w:sz w:val="20"/>
          <w:szCs w:val="20"/>
        </w:rPr>
        <w:t xml:space="preserve">Farmonaut: </w:t>
      </w:r>
      <w:r>
        <w:rPr>
          <w:rFonts w:ascii="Arial" w:cs="Arial" w:eastAsia="Arial" w:hAnsi="Arial"/>
          <w:color w:val="1A1A1A"/>
          <w:sz w:val="20"/>
          <w:szCs w:val="20"/>
        </w:rPr>
        <w:t xml:space="preserve">Uses fixed mathematical formulas — rules a farmer could replicate in a spreadsheet. No model is trained or updated.</w:t>
      </w:r>
    </w:p>
    <w:p>
      <w:pPr>
        <w:pStyle w:val="ListParagraph"/>
        <w:numPr>
          <w:ilvl w:val="0"/>
          <w:numId w:val="2"/>
        </w:numPr>
        <w:spacing w:after="30" w:before="30"/>
      </w:pPr>
      <w:r>
        <w:rPr>
          <w:rFonts w:ascii="Arial" w:cs="Arial" w:eastAsia="Arial" w:hAnsi="Arial"/>
          <w:b/>
          <w:bCs/>
          <w:color w:val="1A1A1A"/>
          <w:sz w:val="20"/>
          <w:szCs w:val="20"/>
        </w:rPr>
        <w:t xml:space="preserve">RMB: </w:t>
      </w:r>
      <w:r>
        <w:rPr>
          <w:rFonts w:ascii="Arial" w:cs="Arial" w:eastAsia="Arial" w:hAnsi="Arial"/>
          <w:color w:val="1A1A1A"/>
          <w:sz w:val="20"/>
          <w:szCs w:val="20"/>
        </w:rPr>
        <w:t xml:space="preserve">Manual inspections logged into a database. There is no analytical layer at all.</w:t>
      </w:r>
    </w:p>
    <w:p>
      <w:pPr>
        <w:spacing w:after="60" w:before="60"/>
      </w:pPr>
      <w:r>
        <w:t xml:space="preserve"/>
      </w:r>
    </w:p>
    <w:p>
      <w:pPr>
        <w:spacing w:after="80" w:before="40"/>
      </w:pPr>
      <w:r>
        <w:rPr>
          <w:rFonts w:ascii="Arial" w:cs="Arial" w:eastAsia="Arial" w:hAnsi="Arial"/>
          <w:color w:val="1A1A1A"/>
          <w:sz w:val="20"/>
          <w:szCs w:val="20"/>
        </w:rPr>
        <w:t xml:space="preserve">MDMIS is the first system in this market where the software makes the call — what mineral is likely present, at what depth, at what grade, and with what extraction risk. Not a human guessing from a report. A trained model working from real sensor data.</w:t>
      </w:r>
    </w:p>
    <w:p>
      <w:pPr>
        <w:spacing w:after="60" w:before="60"/>
      </w:pPr>
      <w:r>
        <w:t xml:space="preserve"/>
      </w:r>
    </w:p>
    <w:p>
      <w:pPr>
        <w:pBdr>
          <w:bottom w:val="single" w:color="2E75B6" w:sz="8" w:space="3"/>
        </w:pBdr>
        <w:spacing w:after="100" w:before="220"/>
      </w:pPr>
      <w:r>
        <w:rPr>
          <w:rFonts w:ascii="Arial" w:cs="Arial" w:eastAsia="Arial" w:hAnsi="Arial"/>
          <w:b/>
          <w:bCs/>
          <w:color w:val="1F4E79"/>
          <w:sz w:val="28"/>
          <w:szCs w:val="28"/>
        </w:rPr>
        <w:t xml:space="preserve">5. Intellectual Property Safety</w:t>
      </w:r>
    </w:p>
    <w:p>
      <w:pPr>
        <w:spacing w:after="80" w:before="40"/>
      </w:pPr>
      <w:r>
        <w:rPr>
          <w:rFonts w:ascii="Arial" w:cs="Arial" w:eastAsia="Arial" w:hAnsi="Arial"/>
          <w:color w:val="1A1A1A"/>
          <w:sz w:val="20"/>
          <w:szCs w:val="20"/>
        </w:rPr>
        <w:t xml:space="preserve">There are three legal grounds through which a competitor could challenge MDMIS. None of them present a real threat if standard development practices are followed: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7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Risk Type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Exposure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Why MDMIS Is Safe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Copyright</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2E7D32"/>
                <w:sz w:val="19"/>
                <w:szCs w:val="19"/>
              </w:rPr>
              <w:t xml:space="preserve">Low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Copyright protects specific code, not ideas. Writing original code using open-source (MIT/BSD) libraries is all that's needed. iTSCi cannot sue MDMIS for also having a traceability feature — that's like WhatsApp suing Telegram for also being a messaging app.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Patent</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2E7D32"/>
                <w:sz w:val="19"/>
                <w:szCs w:val="19"/>
              </w:rPr>
              <w:t xml:space="preserve">Low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Core methods (Spectral Angle Mapper, PCA unmixing, drone sensor fusion) are published open science, not proprietary inventions. No competitor holds a blocking patent in this domain. Filing a provisional patent at RDB before launch turns MDMIS into the rights holder.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Trade Secret</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E7145"/>
                <w:sz w:val="19"/>
                <w:szCs w:val="19"/>
              </w:rPr>
              <w:t xml:space="preserve">None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Applies only if proprietary information was obtained under NDA from a competitor. No such relationship exists. Structure all RMB/partner deals as customer contracts, not co-development agreements.</w:t>
            </w:r>
          </w:p>
        </w:tc>
      </w:tr>
    </w:tbl>
    <w:p>
      <w:pPr>
        <w:spacing w:after="60" w:before="60"/>
      </w:pPr>
      <w:r>
        <w:t xml:space="preserve"/>
      </w:r>
    </w:p>
    <w:p>
      <w:pPr>
        <w:spacing w:after="60" w:before="160"/>
      </w:pPr>
      <w:r>
        <w:rPr>
          <w:rFonts w:ascii="Arial" w:cs="Arial" w:eastAsia="Arial" w:hAnsi="Arial"/>
          <w:b/>
          <w:bCs/>
          <w:color w:val="2E75B6"/>
          <w:sz w:val="23"/>
          <w:szCs w:val="23"/>
        </w:rPr>
        <w:t xml:space="preserve">Copyright</w:t>
      </w:r>
    </w:p>
    <w:p>
      <w:pPr>
        <w:spacing w:after="80" w:before="40"/>
      </w:pPr>
      <w:r>
        <w:rPr>
          <w:rFonts w:ascii="Arial" w:cs="Arial" w:eastAsia="Arial" w:hAnsi="Arial"/>
          <w:color w:val="1A1A1A"/>
          <w:sz w:val="20"/>
          <w:szCs w:val="20"/>
        </w:rPr>
        <w:t xml:space="preserve">Copyright protects specific code — not ideas, not functionality, not business categories. No one owns the concept of 'mineral traceability software' or an 'AI pipeline for mining.' Building from scratch with open-source libraries (MIT, BSD, Apache 2.0) is full protection. Rwanda's IP Law n° 055/2024 automatically protects original code the moment it is written.</w:t>
      </w:r>
    </w:p>
    <w:p>
      <w:pPr>
        <w:spacing w:after="60" w:before="160"/>
      </w:pPr>
      <w:r>
        <w:rPr>
          <w:rFonts w:ascii="Arial" w:cs="Arial" w:eastAsia="Arial" w:hAnsi="Arial"/>
          <w:b/>
          <w:bCs/>
          <w:color w:val="2E75B6"/>
          <w:sz w:val="23"/>
          <w:szCs w:val="23"/>
        </w:rPr>
        <w:t xml:space="preserve">Patents</w:t>
      </w:r>
    </w:p>
    <w:p>
      <w:pPr>
        <w:spacing w:after="80" w:before="40"/>
      </w:pPr>
      <w:r>
        <w:rPr>
          <w:rFonts w:ascii="Arial" w:cs="Arial" w:eastAsia="Arial" w:hAnsi="Arial"/>
          <w:color w:val="1A1A1A"/>
          <w:sz w:val="20"/>
          <w:szCs w:val="20"/>
        </w:rPr>
        <w:t xml:space="preserve">The core methods MDMIS uses — Spectral Angle Mapper classification, PCA hyperspectral unmixing, drone sensor fusion — are all published open science documented in peer-reviewed literature since the 1990s. They are not anyone's patented invention. No competitor in this space (iTSCi, Farmonaut, RCS Global) holds a patent that covers these methods or their combination in the artisanal mining context.</w:t>
      </w:r>
    </w:p>
    <w:p>
      <w:pPr>
        <w:spacing w:after="60" w:before="160"/>
      </w:pPr>
      <w:r>
        <w:rPr>
          <w:rFonts w:ascii="Arial" w:cs="Arial" w:eastAsia="Arial" w:hAnsi="Arial"/>
          <w:b/>
          <w:bCs/>
          <w:color w:val="2E75B6"/>
          <w:sz w:val="23"/>
          <w:szCs w:val="23"/>
        </w:rPr>
        <w:t xml:space="preserve">Trade Secrets</w:t>
      </w:r>
    </w:p>
    <w:p>
      <w:pPr>
        <w:spacing w:after="80" w:before="40"/>
      </w:pPr>
      <w:r>
        <w:rPr>
          <w:rFonts w:ascii="Arial" w:cs="Arial" w:eastAsia="Arial" w:hAnsi="Arial"/>
          <w:color w:val="1A1A1A"/>
          <w:sz w:val="20"/>
          <w:szCs w:val="20"/>
        </w:rPr>
        <w:t xml:space="preserve">This risk only applies if proprietary information was obtained from a competitor under an NDA or employment contract. Since no such relationship exists, there is no basis for a claim. The practical rule: structure all RMB and partner agreements as customer contracts, not co-development deals.</w:t>
      </w:r>
    </w:p>
    <w:p>
      <w:pPr>
        <w:spacing w:after="60" w:before="60"/>
      </w:pPr>
      <w:r>
        <w:t xml:space="preserve"/>
      </w:r>
    </w:p>
    <w:p>
      <w:pPr>
        <w:pBdr>
          <w:bottom w:val="single" w:color="2E75B6" w:sz="8" w:space="3"/>
        </w:pBdr>
        <w:spacing w:after="100" w:before="220"/>
      </w:pPr>
      <w:r>
        <w:rPr>
          <w:rFonts w:ascii="Arial" w:cs="Arial" w:eastAsia="Arial" w:hAnsi="Arial"/>
          <w:b/>
          <w:bCs/>
          <w:color w:val="1F4E79"/>
          <w:sz w:val="28"/>
          <w:szCs w:val="28"/>
        </w:rPr>
        <w:t xml:space="preserve">6. Five Actions to Lock In Protection</w:t>
      </w:r>
    </w:p>
    <w:p>
      <w:pPr>
        <w:spacing w:after="60" w:before="60"/>
      </w:pPr>
      <w:r>
        <w:t xml:space="preserve"/>
      </w:r>
    </w:p>
    <w:p>
      <w:pPr>
        <w:pStyle w:val="ListParagraph"/>
        <w:numPr>
          <w:ilvl w:val="0"/>
          <w:numId w:val="3"/>
        </w:numPr>
        <w:spacing w:after="60" w:before="60"/>
      </w:pPr>
      <w:r>
        <w:rPr>
          <w:rFonts w:ascii="Arial" w:cs="Arial" w:eastAsia="Arial" w:hAnsi="Arial"/>
          <w:b/>
          <w:bCs/>
          <w:sz w:val="20"/>
          <w:szCs w:val="20"/>
        </w:rPr>
        <w:t xml:space="preserve">File a provisional patent at RDB before launch. </w:t>
      </w:r>
      <w:r>
        <w:rPr>
          <w:rFonts w:ascii="Arial" w:cs="Arial" w:eastAsia="Arial" w:hAnsi="Arial"/>
          <w:sz w:val="20"/>
          <w:szCs w:val="20"/>
        </w:rPr>
        <w:t xml:space="preserve">Fast, low-cost, and establishes your legal priority date on the integrated sensor-to-traceability architecture before any competitor can claim it.</w:t>
      </w:r>
    </w:p>
    <w:p>
      <w:pPr>
        <w:pStyle w:val="ListParagraph"/>
        <w:numPr>
          <w:ilvl w:val="0"/>
          <w:numId w:val="3"/>
        </w:numPr>
        <w:spacing w:after="60" w:before="60"/>
      </w:pPr>
      <w:r>
        <w:rPr>
          <w:rFonts w:ascii="Arial" w:cs="Arial" w:eastAsia="Arial" w:hAnsi="Arial"/>
          <w:b/>
          <w:bCs/>
          <w:sz w:val="20"/>
          <w:szCs w:val="20"/>
        </w:rPr>
        <w:t xml:space="preserve">Register copyright at RDB's Office of Registrar General. </w:t>
      </w:r>
      <w:r>
        <w:rPr>
          <w:rFonts w:ascii="Arial" w:cs="Arial" w:eastAsia="Arial" w:hAnsi="Arial"/>
          <w:sz w:val="20"/>
          <w:szCs w:val="20"/>
        </w:rPr>
        <w:t xml:space="preserve">Automatic under Rwandan law from creation, but formal registration creates a public legal record.</w:t>
      </w:r>
    </w:p>
    <w:p>
      <w:pPr>
        <w:pStyle w:val="ListParagraph"/>
        <w:numPr>
          <w:ilvl w:val="0"/>
          <w:numId w:val="3"/>
        </w:numPr>
        <w:spacing w:after="60" w:before="60"/>
      </w:pPr>
      <w:r>
        <w:rPr>
          <w:rFonts w:ascii="Arial" w:cs="Arial" w:eastAsia="Arial" w:hAnsi="Arial"/>
          <w:b/>
          <w:bCs/>
          <w:sz w:val="20"/>
          <w:szCs w:val="20"/>
        </w:rPr>
        <w:t xml:space="preserve">Build a prior art documentation file. </w:t>
      </w:r>
      <w:r>
        <w:rPr>
          <w:rFonts w:ascii="Arial" w:cs="Arial" w:eastAsia="Arial" w:hAnsi="Arial"/>
          <w:sz w:val="20"/>
          <w:szCs w:val="20"/>
        </w:rPr>
        <w:t xml:space="preserve">For every core ML method, record the academic paper it is based on. This is the strongest defence against any future patent challenge.</w:t>
      </w:r>
    </w:p>
    <w:p>
      <w:pPr>
        <w:pStyle w:val="ListParagraph"/>
        <w:numPr>
          <w:ilvl w:val="0"/>
          <w:numId w:val="3"/>
        </w:numPr>
        <w:spacing w:after="60" w:before="60"/>
      </w:pPr>
      <w:r>
        <w:rPr>
          <w:rFonts w:ascii="Arial" w:cs="Arial" w:eastAsia="Arial" w:hAnsi="Arial"/>
          <w:b/>
          <w:bCs/>
          <w:sz w:val="20"/>
          <w:szCs w:val="20"/>
        </w:rPr>
        <w:t xml:space="preserve">Use only permissive open-source licences. </w:t>
      </w:r>
      <w:r>
        <w:rPr>
          <w:rFonts w:ascii="Arial" w:cs="Arial" w:eastAsia="Arial" w:hAnsi="Arial"/>
          <w:sz w:val="20"/>
          <w:szCs w:val="20"/>
        </w:rPr>
        <w:t xml:space="preserve">Audit every dependency (MIT, BSD, Apache 2.0 are safe). Document all third-party libraries from day one.</w:t>
      </w:r>
    </w:p>
    <w:p>
      <w:pPr>
        <w:pStyle w:val="ListParagraph"/>
        <w:numPr>
          <w:ilvl w:val="0"/>
          <w:numId w:val="3"/>
        </w:numPr>
        <w:spacing w:after="60" w:before="60"/>
      </w:pPr>
      <w:r>
        <w:rPr>
          <w:rFonts w:ascii="Arial" w:cs="Arial" w:eastAsia="Arial" w:hAnsi="Arial"/>
          <w:b/>
          <w:bCs/>
          <w:sz w:val="20"/>
          <w:szCs w:val="20"/>
        </w:rPr>
        <w:t xml:space="preserve">Structure all partnerships as customer/service contracts. </w:t>
      </w:r>
      <w:r>
        <w:rPr>
          <w:rFonts w:ascii="Arial" w:cs="Arial" w:eastAsia="Arial" w:hAnsi="Arial"/>
          <w:sz w:val="20"/>
          <w:szCs w:val="20"/>
        </w:rPr>
        <w:t xml:space="preserve">No partner — including RMB — should receive co-developer rights over MDMIS architecture.</w:t>
      </w:r>
    </w:p>
    <w:p>
      <w:pPr>
        <w:spacing w:after="60" w:before="60"/>
      </w:pPr>
      <w:r>
        <w:t xml:space="preserve"/>
      </w:r>
    </w:p>
    <w:p>
      <w:pPr>
        <w:pBdr>
          <w:bottom w:val="single" w:color="2E75B6" w:sz="8" w:space="3"/>
        </w:pBdr>
        <w:spacing w:after="100" w:before="220"/>
      </w:pPr>
      <w:r>
        <w:rPr>
          <w:rFonts w:ascii="Arial" w:cs="Arial" w:eastAsia="Arial" w:hAnsi="Arial"/>
          <w:b/>
          <w:bCs/>
          <w:color w:val="1F4E79"/>
          <w:sz w:val="28"/>
          <w:szCs w:val="28"/>
        </w:rPr>
        <w:t xml:space="preserve">7.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BOTTOM LINE</w:t>
            </w:r>
          </w:p>
        </w:tc>
        <w:tc>
          <w:tcPr>
            <w:tcW w:type="dxa" w:w="82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40"/>
            </w:tcMar>
          </w:tcPr>
          <w:p>
            <w:r>
              <w:rPr>
                <w:rFonts w:ascii="Arial" w:cs="Arial" w:eastAsia="Arial" w:hAnsi="Arial"/>
                <w:i/>
                <w:iCs/>
                <w:color w:val="1A1A1A"/>
                <w:sz w:val="20"/>
                <w:szCs w:val="20"/>
              </w:rPr>
              <w:t xml:space="preserve">MDMIS holds no IP risk from existing competitors. The market gap is real and uncontested. The only meaningful IP threat is a future entrant filing a provisional patent before MDMIS does. The priority is clear: build clean, file early, launch first.</w:t>
            </w:r>
          </w:p>
        </w:tc>
      </w:tr>
    </w:tbl>
    <w:p>
      <w:pPr>
        <w:spacing w:after="60" w:before="60"/>
      </w:pPr>
      <w:r>
        <w:t xml:space="preserve"/>
      </w:r>
    </w:p>
    <w:p>
      <w:pPr>
        <w:spacing w:before="160"/>
      </w:pPr>
      <w:r>
        <w:rPr>
          <w:rFonts w:ascii="Arial" w:cs="Arial" w:eastAsia="Arial" w:hAnsi="Arial"/>
          <w:i/>
          <w:iCs/>
          <w:color w:val="AAAAAA"/>
          <w:sz w:val="18"/>
          <w:szCs w:val="18"/>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999999"/>
        <w:sz w:val="16"/>
        <w:szCs w:val="16"/>
      </w:rPr>
      <w:t xml:space="preserve">Mineral Detection &amp; Mining Intelligence System (MDMIS)  |  Kigali, Rwanda  |  2026</w:t>
    </w:r>
    <w:r>
      <w:rPr>
        <w:rFonts w:ascii="Arial" w:cs="Arial" w:eastAsia="Arial" w:hAnsi="Arial"/>
        <w:color w:val="999999"/>
        <w:sz w:val="16"/>
        <w:szCs w:val="16"/>
      </w:rPr>
      <w:t xml:space="preserve">	Page </w:t>
    </w:r>
    <w:r>
      <w:rPr>
        <w:rFonts w:ascii="Arial" w:cs="Arial" w:eastAsia="Arial" w:hAnsi="Arial"/>
        <w:color w:val="99999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2E75B6"/>
        <w:sz w:val="18"/>
        <w:szCs w:val="18"/>
      </w:rPr>
      <w:t xml:space="preserve">MDMIS  —  Competitive &amp; IP Safety Analysis</w:t>
    </w:r>
    <w:r>
      <w:rPr>
        <w:rFonts w:ascii="Arial" w:cs="Arial" w:eastAsia="Arial" w:hAnsi="Arial"/>
        <w:color w:val="999999"/>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2026-06-04T08:46:05.457Z</dcterms:created>
  <dcterms:modified xsi:type="dcterms:W3CDTF">2026-06-04T08:46:05.458Z</dcterms:modified>
</cp:coreProperties>
</file>

<file path=docProps/custom.xml><?xml version="1.0" encoding="utf-8"?>
<Properties xmlns="http://schemas.openxmlformats.org/officeDocument/2006/custom-properties" xmlns:vt="http://schemas.openxmlformats.org/officeDocument/2006/docPropsVTypes"/>
</file>