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ord-19-dataset-analysis-final-report"/>
    <w:p>
      <w:pPr>
        <w:pStyle w:val="Heading1"/>
      </w:pPr>
      <w:r>
        <w:t xml:space="preserve">📊 CORD-19 Dataset Analysis – Final Report</w:t>
      </w:r>
    </w:p>
    <w:bookmarkStart w:id="9" w:name="data-overview"/>
    <w:p>
      <w:pPr>
        <w:pStyle w:val="Heading2"/>
      </w:pPr>
      <w:r>
        <w:t xml:space="preserve">1. Data Overview</w:t>
      </w:r>
    </w:p>
    <w:p>
      <w:pPr>
        <w:pStyle w:val="Compact"/>
        <w:numPr>
          <w:ilvl w:val="0"/>
          <w:numId w:val="1001"/>
        </w:numPr>
      </w:pPr>
      <w:r>
        <w:t xml:space="preserve">Dataset size: 1056660 rows, 19 columns</w:t>
      </w:r>
    </w:p>
    <w:p>
      <w:pPr>
        <w:pStyle w:val="Compact"/>
        <w:numPr>
          <w:ilvl w:val="0"/>
          <w:numId w:val="1001"/>
        </w:numPr>
      </w:pPr>
      <w:r>
        <w:t xml:space="preserve">Key fields explored: title, abstract, publish_time, journal, source_x</w:t>
      </w:r>
    </w:p>
    <w:bookmarkEnd w:id="9"/>
    <w:bookmarkStart w:id="10" w:name="cleaning-preparation"/>
    <w:p>
      <w:pPr>
        <w:pStyle w:val="Heading2"/>
      </w:pPr>
      <w:r>
        <w:t xml:space="preserve">2. Cleaning &amp; Preparation</w:t>
      </w:r>
    </w:p>
    <w:p>
      <w:pPr>
        <w:pStyle w:val="Compact"/>
        <w:numPr>
          <w:ilvl w:val="0"/>
          <w:numId w:val="1002"/>
        </w:numPr>
      </w:pPr>
      <w:r>
        <w:t xml:space="preserve">Extracted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publish_time</w:t>
      </w:r>
    </w:p>
    <w:p>
      <w:pPr>
        <w:pStyle w:val="Compact"/>
        <w:numPr>
          <w:ilvl w:val="0"/>
          <w:numId w:val="1002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abstract_word_count</w:t>
      </w:r>
    </w:p>
    <w:p>
      <w:pPr>
        <w:pStyle w:val="Compact"/>
        <w:numPr>
          <w:ilvl w:val="0"/>
          <w:numId w:val="1002"/>
        </w:numPr>
      </w:pPr>
      <w:r>
        <w:t xml:space="preserve">Saved cleaned dataset as</w:t>
      </w:r>
      <w:r>
        <w:t xml:space="preserve"> </w:t>
      </w:r>
      <w:r>
        <w:rPr>
          <w:rStyle w:val="VerbatimChar"/>
        </w:rPr>
        <w:t xml:space="preserve">cleaned_cord19.csv</w:t>
      </w:r>
    </w:p>
    <w:bookmarkEnd w:id="10"/>
    <w:bookmarkStart w:id="11" w:name="descriptive-statistics"/>
    <w:p>
      <w:pPr>
        <w:pStyle w:val="Heading2"/>
      </w:pPr>
      <w:r>
        <w:t xml:space="preserve">3. Descriptive Statistics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Papers per Year:</w:t>
      </w:r>
      <w:r>
        <w:t xml:space="preserve"> </w:t>
      </w:r>
      <w:r>
        <w:t xml:space="preserve">Strong increase after 2020 due to COVID-19.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 Journals:</w:t>
      </w:r>
      <w:r>
        <w:t xml:space="preserve"> </w:t>
      </w:r>
      <w:r>
        <w:t xml:space="preserve">bioRxiv, PLoS One, Sci Rep among most frequent.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 Sources:</w:t>
      </w:r>
      <w:r>
        <w:t xml:space="preserve"> </w:t>
      </w:r>
      <w:r>
        <w:t xml:space="preserve">Medline, PMC, WHO collections.</w:t>
      </w:r>
    </w:p>
    <w:bookmarkEnd w:id="11"/>
    <w:bookmarkStart w:id="12" w:name="text-mining-on-abstracts"/>
    <w:p>
      <w:pPr>
        <w:pStyle w:val="Heading2"/>
      </w:pPr>
      <w:r>
        <w:t xml:space="preserve">4. Text Mining on Abstracts</w:t>
      </w:r>
    </w:p>
    <w:p>
      <w:pPr>
        <w:pStyle w:val="Compact"/>
        <w:numPr>
          <w:ilvl w:val="0"/>
          <w:numId w:val="1004"/>
        </w:numPr>
      </w:pPr>
      <w:r>
        <w:t xml:space="preserve">Preprocessed abstracts (lowercased, stopwords removed).</w:t>
      </w:r>
    </w:p>
    <w:p>
      <w:pPr>
        <w:pStyle w:val="Compact"/>
        <w:numPr>
          <w:ilvl w:val="0"/>
          <w:numId w:val="1004"/>
        </w:numPr>
      </w:pPr>
      <w:r>
        <w:t xml:space="preserve">Word frequency analysis highlighted key terms (e.g.,</w:t>
      </w:r>
      <w:r>
        <w:t xml:space="preserve"> </w:t>
      </w:r>
      <w:r>
        <w:t xml:space="preserve">“covid”</w:t>
      </w:r>
      <w:r>
        <w:t xml:space="preserve">,</w:t>
      </w:r>
      <w:r>
        <w:t xml:space="preserve"> </w:t>
      </w:r>
      <w:r>
        <w:t xml:space="preserve">“patients”</w:t>
      </w:r>
      <w:r>
        <w:t xml:space="preserve">,</w:t>
      </w:r>
      <w:r>
        <w:t xml:space="preserve"> </w:t>
      </w:r>
      <w:r>
        <w:t xml:space="preserve">“virus”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WordCloud showed major research themes visually.</w:t>
      </w:r>
    </w:p>
    <w:bookmarkEnd w:id="12"/>
    <w:bookmarkStart w:id="13" w:name="topic-modeling-lda"/>
    <w:p>
      <w:pPr>
        <w:pStyle w:val="Heading2"/>
      </w:pPr>
      <w:r>
        <w:t xml:space="preserve">5. Topic Modeling (LDA)</w:t>
      </w:r>
    </w:p>
    <w:p>
      <w:pPr>
        <w:pStyle w:val="Compact"/>
        <w:numPr>
          <w:ilvl w:val="0"/>
          <w:numId w:val="1005"/>
        </w:numPr>
      </w:pPr>
      <w:r>
        <w:t xml:space="preserve">Extracted thematic clusters from abstracts.</w:t>
      </w:r>
    </w:p>
    <w:p>
      <w:pPr>
        <w:pStyle w:val="Compact"/>
        <w:numPr>
          <w:ilvl w:val="0"/>
          <w:numId w:val="1005"/>
        </w:numPr>
      </w:pPr>
      <w:r>
        <w:t xml:space="preserve">Topics included:</w:t>
      </w:r>
    </w:p>
    <w:p>
      <w:pPr>
        <w:pStyle w:val="Compact"/>
        <w:numPr>
          <w:ilvl w:val="1"/>
          <w:numId w:val="1006"/>
        </w:numPr>
      </w:pPr>
      <w:r>
        <w:t xml:space="preserve">Clinical research and patients</w:t>
      </w:r>
    </w:p>
    <w:p>
      <w:pPr>
        <w:pStyle w:val="Compact"/>
        <w:numPr>
          <w:ilvl w:val="1"/>
          <w:numId w:val="1006"/>
        </w:numPr>
      </w:pPr>
      <w:r>
        <w:t xml:space="preserve">Public health and epidemiology</w:t>
      </w:r>
    </w:p>
    <w:p>
      <w:pPr>
        <w:pStyle w:val="Compact"/>
        <w:numPr>
          <w:ilvl w:val="1"/>
          <w:numId w:val="1006"/>
        </w:numPr>
      </w:pPr>
      <w:r>
        <w:t xml:space="preserve">Virology and molecular studies</w:t>
      </w:r>
    </w:p>
    <w:p>
      <w:pPr>
        <w:pStyle w:val="Compact"/>
        <w:numPr>
          <w:ilvl w:val="1"/>
          <w:numId w:val="1006"/>
        </w:numPr>
      </w:pPr>
      <w:r>
        <w:t xml:space="preserve">Vaccination and immunity</w:t>
      </w:r>
    </w:p>
    <w:p>
      <w:pPr>
        <w:pStyle w:val="Compact"/>
        <w:numPr>
          <w:ilvl w:val="1"/>
          <w:numId w:val="1006"/>
        </w:numPr>
      </w:pPr>
      <w:r>
        <w:t xml:space="preserve">Global impact and policy</w:t>
      </w:r>
    </w:p>
    <w:bookmarkEnd w:id="13"/>
    <w:bookmarkStart w:id="14" w:name="key-insights"/>
    <w:p>
      <w:pPr>
        <w:pStyle w:val="Heading2"/>
      </w:pPr>
      <w:r>
        <w:t xml:space="preserve">6. Key Insights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COVID-19 drove a massive publication spike starting 2020.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Preprints (bioRxiv, medRxiv) were crucial early sources.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Research covered clinical, public health, and biological aspects.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WordCloud + LDA confirm diverse but COVID-focused themes.</w:t>
      </w:r>
    </w:p>
    <w:bookmarkEnd w:id="14"/>
    <w:bookmarkStart w:id="15" w:name="conclusion"/>
    <w:p>
      <w:pPr>
        <w:pStyle w:val="Heading2"/>
      </w:pPr>
      <w:r>
        <w:t xml:space="preserve">✅ Conclusion</w:t>
      </w:r>
    </w:p>
    <w:p>
      <w:pPr>
        <w:pStyle w:val="FirstParagraph"/>
      </w:pPr>
      <w:r>
        <w:t xml:space="preserve">The CORD-19 dataset provides an invaluable resource for tracking</w:t>
      </w:r>
      <w:r>
        <w:t xml:space="preserve"> </w:t>
      </w:r>
      <w:r>
        <w:t xml:space="preserve">the scientific response to COVID-19. Our analysis combined data</w:t>
      </w:r>
      <w:r>
        <w:t xml:space="preserve"> </w:t>
      </w:r>
      <w:r>
        <w:t xml:space="preserve">cleaning, exploratory analysis, and text mining to uncover trends</w:t>
      </w:r>
      <w:r>
        <w:t xml:space="preserve"> </w:t>
      </w:r>
      <w:r>
        <w:t xml:space="preserve">and themes in global research output.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2025-09-13T10:44:37Z</dcterms:created>
  <dcterms:modified xsi:type="dcterms:W3CDTF">2025-09-13T10:44:37Z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