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632" w:type="dxa"/>
        <w:tblInd w:w="-1139" w:type="dxa"/>
        <w:tblLook w:val="04A0" w:firstRow="1" w:lastRow="0" w:firstColumn="1" w:lastColumn="0" w:noHBand="0" w:noVBand="1"/>
      </w:tblPr>
      <w:tblGrid>
        <w:gridCol w:w="3119"/>
        <w:gridCol w:w="7513"/>
      </w:tblGrid>
      <w:tr w:rsidR="00D05B4F" w:rsidRPr="00043B35" w14:paraId="6FEEE12E" w14:textId="77777777" w:rsidTr="00043B35">
        <w:tc>
          <w:tcPr>
            <w:tcW w:w="3119" w:type="dxa"/>
          </w:tcPr>
          <w:p w14:paraId="4DB00FF2" w14:textId="15160875" w:rsidR="00D05B4F" w:rsidRPr="00043B35" w:rsidRDefault="001E4CFE" w:rsidP="00043B35">
            <w:pPr>
              <w:ind w:left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7513" w:type="dxa"/>
          </w:tcPr>
          <w:p w14:paraId="76608583" w14:textId="70631AC6" w:rsidR="00D05B4F" w:rsidRPr="00043B35" w:rsidRDefault="000B02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Эргономика рабочего места</w:t>
            </w:r>
          </w:p>
        </w:tc>
      </w:tr>
      <w:tr w:rsidR="00D05B4F" w:rsidRPr="00043B35" w14:paraId="4DCCD1C9" w14:textId="77777777" w:rsidTr="00043B35">
        <w:tc>
          <w:tcPr>
            <w:tcW w:w="3119" w:type="dxa"/>
          </w:tcPr>
          <w:p w14:paraId="3A41A5CF" w14:textId="6A498863" w:rsidR="00D05B4F" w:rsidRPr="00043B35" w:rsidRDefault="002579E1" w:rsidP="00043B35">
            <w:pPr>
              <w:ind w:left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Микроклимат</w:t>
            </w:r>
          </w:p>
        </w:tc>
        <w:tc>
          <w:tcPr>
            <w:tcW w:w="7513" w:type="dxa"/>
          </w:tcPr>
          <w:p w14:paraId="0382D909" w14:textId="6AB975FA" w:rsidR="00D05B4F" w:rsidRPr="00043B35" w:rsidRDefault="004F232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В теплый период года в комнате, где работает программист, должно быть +20… 25°С (допустимым является и показатель до +28°С в самые жаркие месяцы в 13 часов), в холодный – +18… 21°С, а в переходный – +17… 21°С. Что касается влажности, то оптимальным показателем является от 40% до 60%. Движение воздуха в помещении должно быть со скоростью менее 0,3 м/с, но для холодного периода – до 0,2 м/с, а в летнюю </w:t>
            </w:r>
            <w:r w:rsidRPr="00043B3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жару – не выше 0,5 м/с.</w:t>
            </w:r>
          </w:p>
        </w:tc>
      </w:tr>
      <w:tr w:rsidR="00D05B4F" w:rsidRPr="00043B35" w14:paraId="31792124" w14:textId="77777777" w:rsidTr="00043B35">
        <w:tc>
          <w:tcPr>
            <w:tcW w:w="3119" w:type="dxa"/>
          </w:tcPr>
          <w:p w14:paraId="4598E99B" w14:textId="5C9540A5" w:rsidR="00D05B4F" w:rsidRPr="00043B35" w:rsidRDefault="002579E1" w:rsidP="00043B35">
            <w:pPr>
              <w:ind w:left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Освещение</w:t>
            </w:r>
            <w:r w:rsidR="00B50B92"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расчёт освещенности</w:t>
            </w:r>
          </w:p>
        </w:tc>
        <w:tc>
          <w:tcPr>
            <w:tcW w:w="7513" w:type="dxa"/>
          </w:tcPr>
          <w:p w14:paraId="260D38BE" w14:textId="0C6F1390" w:rsidR="000B02A5" w:rsidRPr="000B02A5" w:rsidRDefault="000B02A5" w:rsidP="000B02A5">
            <w:pPr>
              <w:shd w:val="clear" w:color="auto" w:fill="FFFFFF"/>
              <w:spacing w:after="375"/>
              <w:outlineLvl w:val="2"/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</w:pP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 xml:space="preserve">Согласно СНиП </w:t>
            </w: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</w:rPr>
              <w:t>II</w:t>
            </w: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 xml:space="preserve">-4-79 </w:t>
            </w:r>
            <w:r w:rsidRPr="00043B3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>в помещениях</w:t>
            </w: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 xml:space="preserve"> вычислительных центров необходимо применить систему комбинированного освещения.</w:t>
            </w:r>
          </w:p>
          <w:p w14:paraId="6446A0D2" w14:textId="77777777" w:rsidR="000B02A5" w:rsidRPr="000B02A5" w:rsidRDefault="000B02A5" w:rsidP="000B02A5">
            <w:pPr>
              <w:shd w:val="clear" w:color="auto" w:fill="FFFFFF"/>
              <w:outlineLvl w:val="2"/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</w:pP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>При выполнении работ категории высокой зрительной точности (наименьший размер объекта различения 0,3…0,5мм) величина коэффициента естественного освещения (КЕО) должна быть не ниже 1,5%, а при зрительной работе средней точности (наименьший размер объекта различения 0,5…1,0</w:t>
            </w:r>
            <w:r w:rsidRPr="000B02A5">
              <w:rPr>
                <w:rFonts w:ascii="Times New Roman" w:eastAsia="Times New Roman" w:hAnsi="Times New Roman" w:cs="Times New Roman"/>
                <w:b/>
                <w:bCs/>
                <w:color w:val="183741"/>
                <w:sz w:val="28"/>
                <w:szCs w:val="28"/>
              </w:rPr>
              <w:t> </w:t>
            </w: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>мм)</w:t>
            </w:r>
            <w:r w:rsidRPr="000B02A5">
              <w:rPr>
                <w:rFonts w:ascii="Times New Roman" w:eastAsia="Times New Roman" w:hAnsi="Times New Roman" w:cs="Times New Roman"/>
                <w:b/>
                <w:bCs/>
                <w:color w:val="183741"/>
                <w:sz w:val="28"/>
                <w:szCs w:val="28"/>
              </w:rPr>
              <w:t> </w:t>
            </w: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>КЕО должен быть не ниже 1,0%. В качестве источников искусственного освещения обычно используются люминесцентные лампы типа ЛБ или ДРЛ, которые попарно объединяются в светильники, которые должны располагаться над рабочими поверхностями равномерно [23].</w:t>
            </w:r>
          </w:p>
          <w:p w14:paraId="0494834A" w14:textId="77777777" w:rsidR="000B02A5" w:rsidRPr="000B02A5" w:rsidRDefault="000B02A5" w:rsidP="000B02A5">
            <w:pPr>
              <w:shd w:val="clear" w:color="auto" w:fill="FFFFFF"/>
              <w:outlineLvl w:val="2"/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</w:pP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>Требования к освещенности в помещениях, где установлены компьютеры, следующие: при выполнении зрительных</w:t>
            </w:r>
            <w:r w:rsidRPr="000B02A5">
              <w:rPr>
                <w:rFonts w:ascii="Times New Roman" w:eastAsia="Times New Roman" w:hAnsi="Times New Roman" w:cs="Times New Roman"/>
                <w:b/>
                <w:bCs/>
                <w:color w:val="183741"/>
                <w:sz w:val="28"/>
                <w:szCs w:val="28"/>
              </w:rPr>
              <w:t> </w:t>
            </w:r>
            <w:r w:rsidRPr="000B02A5">
              <w:rPr>
                <w:rFonts w:ascii="Times New Roman" w:eastAsia="Times New Roman" w:hAnsi="Times New Roman" w:cs="Times New Roman"/>
                <w:color w:val="183741"/>
                <w:sz w:val="28"/>
                <w:szCs w:val="28"/>
                <w:lang w:val="ru-RU"/>
              </w:rPr>
              <w:t>работ высокой точности общая освещенность должна составлять 300лк, а комбинированная - 750лк; аналогичные требования при выполнении работ средней точности - 200 и 300лк соответственно.</w:t>
            </w:r>
          </w:p>
          <w:p w14:paraId="1646B421" w14:textId="77777777" w:rsidR="00D05B4F" w:rsidRPr="00043B35" w:rsidRDefault="00D05B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5B4F" w:rsidRPr="00043B35" w14:paraId="503762FF" w14:textId="77777777" w:rsidTr="00043B35">
        <w:tc>
          <w:tcPr>
            <w:tcW w:w="3119" w:type="dxa"/>
          </w:tcPr>
          <w:p w14:paraId="0EF9430A" w14:textId="0141E216" w:rsidR="00D05B4F" w:rsidRPr="00043B35" w:rsidRDefault="002579E1" w:rsidP="00043B35">
            <w:pPr>
              <w:ind w:left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Шум</w:t>
            </w:r>
            <w:r w:rsidR="00B50B92"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вибрации</w:t>
            </w:r>
          </w:p>
        </w:tc>
        <w:tc>
          <w:tcPr>
            <w:tcW w:w="7513" w:type="dxa"/>
          </w:tcPr>
          <w:p w14:paraId="3487882D" w14:textId="052AEC44" w:rsidR="004779C5" w:rsidRPr="00043B35" w:rsidRDefault="004779C5" w:rsidP="004779C5">
            <w:pPr>
              <w:pStyle w:val="3"/>
              <w:shd w:val="clear" w:color="auto" w:fill="FFFFFF"/>
              <w:spacing w:before="0" w:beforeAutospacing="0" w:after="375" w:afterAutospacing="0"/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</w:pP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Под воздействием шума снижается концентрация внимания, нарушаются физиологические функции, появляется усталость в связи с повышенными энергетическими затратами и нервно-психическим напряжением, ухудшается речевая коммутация. Все это снижает работоспособность человека и его производительность, качество и безопасность труда. Длительное воздействие интенсивного шума [выше 80 дБ(А)] на слух человека приводит к его частичной или полной потере</w:t>
            </w:r>
            <w:r w:rsidR="004F5FF4"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. </w:t>
            </w:r>
            <w:r w:rsidR="004F5FF4"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ровень шума на рабочем месте математиков-программистов и операторов видеоматериалов не должен </w:t>
            </w:r>
            <w:r w:rsidR="004F5FF4"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lastRenderedPageBreak/>
              <w:t>превышать 50дБА, а в залах обработки информации на вычислительных машинах - 65дБА. Для снижения уровня шума стены и потолок помещений, где установлены компьютеры, могут быть облицованы звукопоглощающими материалами. Уровень вибрации в помещениях вычислительных центров может быть снижен путем установки оборудования на специальные виброизоляторы.</w:t>
            </w:r>
          </w:p>
          <w:p w14:paraId="0B8D8BC3" w14:textId="77777777" w:rsidR="00D05B4F" w:rsidRPr="00043B35" w:rsidRDefault="00D05B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05B4F" w:rsidRPr="00043B35" w14:paraId="04C5D5D4" w14:textId="77777777" w:rsidTr="00043B35">
        <w:tc>
          <w:tcPr>
            <w:tcW w:w="3119" w:type="dxa"/>
          </w:tcPr>
          <w:p w14:paraId="77DDC273" w14:textId="432F05C2" w:rsidR="00D05B4F" w:rsidRPr="00043B35" w:rsidRDefault="004F5FF4" w:rsidP="00043B35">
            <w:pPr>
              <w:ind w:left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Электромагнитное и ионизирующее излучения</w:t>
            </w:r>
          </w:p>
        </w:tc>
        <w:tc>
          <w:tcPr>
            <w:tcW w:w="7513" w:type="dxa"/>
          </w:tcPr>
          <w:p w14:paraId="247AD0E6" w14:textId="78B5CDFF" w:rsidR="00426828" w:rsidRPr="00043B35" w:rsidRDefault="00426828" w:rsidP="00426828">
            <w:pPr>
              <w:pStyle w:val="3"/>
              <w:shd w:val="clear" w:color="auto" w:fill="FFFFFF"/>
              <w:spacing w:before="0" w:beforeAutospacing="0" w:after="0" w:afterAutospacing="0"/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</w:pP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Максимальный уровень рентгеновского излучения на рабочем месте оператора компьютера обычно не превышает 10мкбэр/ч, а интенсивность ультрафиолетового и инфракрасного излучений от экрана монитора лежит в пределах 10…100мВт/м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vertAlign w:val="superscript"/>
                <w:lang w:val="ru-RU"/>
              </w:rPr>
              <w:t>2</w:t>
            </w:r>
            <w:r w:rsidR="004F7A8E" w:rsidRPr="00043B35">
              <w:rPr>
                <w:b w:val="0"/>
                <w:bCs w:val="0"/>
                <w:color w:val="183741"/>
                <w:sz w:val="28"/>
                <w:szCs w:val="28"/>
                <w:vertAlign w:val="superscript"/>
                <w:lang w:val="ru-RU"/>
              </w:rPr>
              <w:t xml:space="preserve"> </w:t>
            </w:r>
            <w:r w:rsidR="004F7A8E"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(</w:t>
            </w:r>
            <w:r w:rsidR="004F7A8E"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в соответствии с СанПиН 2.2.2.542-96</w:t>
            </w:r>
            <w:r w:rsidR="004F7A8E"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). </w:t>
            </w:r>
            <w:r w:rsidR="004F7A8E"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Для снижения воздействия этих видов излучения рекомендуется применять мониторы с пониженным уровнем излучения (MPR-II, TCO-92, TCO-99), устанавливать защитные экраны, а также соблюдать регламентированные режимы труда и отдыха.</w:t>
            </w:r>
          </w:p>
          <w:p w14:paraId="1179B29C" w14:textId="77777777" w:rsidR="00D05B4F" w:rsidRPr="00043B35" w:rsidRDefault="00D05B4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F7A8E" w:rsidRPr="00043B35" w14:paraId="7B62FB30" w14:textId="77777777" w:rsidTr="00043B35">
        <w:tc>
          <w:tcPr>
            <w:tcW w:w="3119" w:type="dxa"/>
          </w:tcPr>
          <w:p w14:paraId="69064B03" w14:textId="7EDE95A3" w:rsidR="004F7A8E" w:rsidRPr="00043B35" w:rsidRDefault="00C248CD" w:rsidP="00043B35">
            <w:pPr>
              <w:ind w:left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43B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Эргономические требования к рабочему месту</w:t>
            </w:r>
          </w:p>
        </w:tc>
        <w:tc>
          <w:tcPr>
            <w:tcW w:w="7513" w:type="dxa"/>
          </w:tcPr>
          <w:p w14:paraId="31789E70" w14:textId="30080E5A" w:rsidR="004F7A8E" w:rsidRPr="00043B35" w:rsidRDefault="00043B35" w:rsidP="00043B35">
            <w:pPr>
              <w:pStyle w:val="3"/>
              <w:shd w:val="clear" w:color="auto" w:fill="FFFFFF"/>
              <w:spacing w:after="0"/>
              <w:outlineLvl w:val="2"/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</w:pP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Требования к организации и оборудованию рабочего места сотрудника ВЦ приведены в ГОСТ 12.2.032-78. Высота рабочей поверхности стола для пользователей должна регулироваться в пределах 680-800 мм; при отсутствии таковой возможности высота рабочей поверхности стола должна составлять 725 мм.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 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1200, 1400 мм, глубину 800 и 1000 мм при нерегулируемой высоте, равной 725 мм.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 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Рабочий стол должен иметь пространство для ног высотой не менее 600 мм, шириной – не менее 500 мм, глубиной на уровне колен – не менее 450 мм и на уровне вытянутых ног – не менее 650 мм.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 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Рабочий стул (кресло) должен быть подъемно-поворотным и регулируемым по высоте и углам наклона сиденья и спинки, а также – расстоянию спинки до переднего края сиденья.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 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Рабочее место необходимо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 градусов. Поверхность 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lastRenderedPageBreak/>
              <w:t>подставки должна быть рифленой и иметь по переднему краю бортик высотой 10 мм.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 </w:t>
            </w:r>
            <w:r w:rsidRPr="00043B35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Клавиатуру следует располагать на поверхности стола на расстоянии 100-300 мм от края, обращенного к пользователю, или на специальной регулируемой по высоте рабочей поверхности, отделенной от основной столешницы.</w:t>
            </w:r>
          </w:p>
        </w:tc>
      </w:tr>
      <w:tr w:rsidR="00043B35" w:rsidRPr="00043B35" w14:paraId="0832C2DC" w14:textId="77777777" w:rsidTr="00043B35">
        <w:tc>
          <w:tcPr>
            <w:tcW w:w="3119" w:type="dxa"/>
          </w:tcPr>
          <w:p w14:paraId="37D5E98A" w14:textId="05B66D97" w:rsidR="00043B35" w:rsidRPr="00043B35" w:rsidRDefault="00BE3C40" w:rsidP="00043B35">
            <w:pPr>
              <w:ind w:left="2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E3C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Расчет уровня шума</w:t>
            </w:r>
          </w:p>
        </w:tc>
        <w:tc>
          <w:tcPr>
            <w:tcW w:w="7513" w:type="dxa"/>
          </w:tcPr>
          <w:p w14:paraId="3E3718E9" w14:textId="359FDA57" w:rsidR="005B4F08" w:rsidRPr="005B4F08" w:rsidRDefault="005B4F08" w:rsidP="005B4F08">
            <w:pPr>
              <w:pStyle w:val="3"/>
              <w:shd w:val="clear" w:color="auto" w:fill="FFFFFF"/>
              <w:spacing w:after="0"/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</w:pPr>
            <w:r w:rsidRPr="005B4F08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 xml:space="preserve">Уровень шума, возникающий от нескольких некогерентных источников, работающих одновременно, подсчитывается на основании принципа энергетического суммирования излучений отдельных </w:t>
            </w:r>
            <w:r w:rsidR="001E0935" w:rsidRPr="005B4F08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источников:</w:t>
            </w:r>
          </w:p>
          <w:p w14:paraId="62C36900" w14:textId="77777777" w:rsidR="005B4F08" w:rsidRPr="005B4F08" w:rsidRDefault="005B4F08" w:rsidP="005B4F08">
            <w:pPr>
              <w:pStyle w:val="3"/>
              <w:shd w:val="clear" w:color="auto" w:fill="FFFFFF"/>
              <w:spacing w:after="0"/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</w:pPr>
            <w:r w:rsidRPr="005B4F08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где Li - уровень звукового давления i-го источника шума;</w:t>
            </w:r>
          </w:p>
          <w:p w14:paraId="361A0C47" w14:textId="77777777" w:rsidR="00043B35" w:rsidRDefault="005B4F08" w:rsidP="005B4F08">
            <w:pPr>
              <w:pStyle w:val="3"/>
              <w:shd w:val="clear" w:color="auto" w:fill="FFFFFF"/>
              <w:spacing w:after="0"/>
              <w:outlineLvl w:val="2"/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</w:pPr>
            <w:r w:rsidRPr="005B4F08"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  <w:t>n - количество источников шума</w:t>
            </w:r>
          </w:p>
          <w:p w14:paraId="615D875F" w14:textId="3811EDC4" w:rsidR="001E0935" w:rsidRPr="001E0935" w:rsidRDefault="001E0935" w:rsidP="001E0935">
            <w:pPr>
              <w:pStyle w:val="a4"/>
              <w:spacing w:before="0" w:beforeAutospacing="0" w:after="285" w:afterAutospacing="0"/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</w:pP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О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бычно рабочее место оператора оснащено следующим оборудованием: винчестер в системном блоке</w:t>
            </w:r>
            <w:r w:rsidR="005603CF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(40дБ)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, вентилятор(ы) систем охлаждения ПК</w:t>
            </w:r>
            <w:r w:rsidR="005603CF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(45дБ)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, монитор</w:t>
            </w:r>
            <w:r w:rsidR="005603CF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(17дБ)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, клавиатура</w:t>
            </w:r>
            <w:r w:rsidR="005603CF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(10дБ)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, принтер</w:t>
            </w:r>
            <w:r w:rsidR="005603CF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(45дБ)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 и сканер</w:t>
            </w:r>
            <w:r w:rsidR="005603CF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(42дБ)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.</w:t>
            </w:r>
          </w:p>
          <w:p w14:paraId="5C1F222C" w14:textId="56089288" w:rsidR="001E0935" w:rsidRPr="001E0935" w:rsidRDefault="001E0935" w:rsidP="001E0935">
            <w:pPr>
              <w:pStyle w:val="a4"/>
              <w:spacing w:before="0" w:beforeAutospacing="0" w:after="285" w:afterAutospacing="0"/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</w:pP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Подставив значения уровня звукового давления для каждого вида оборудования в 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>формулу,</w:t>
            </w:r>
            <w:r w:rsidRPr="001E0935"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 получим:</w:t>
            </w:r>
          </w:p>
          <w:p w14:paraId="316EE9F2" w14:textId="77777777" w:rsidR="001E0935" w:rsidRDefault="001E0935" w:rsidP="001E0935">
            <w:pPr>
              <w:pStyle w:val="a4"/>
              <w:spacing w:before="0" w:beforeAutospacing="0" w:after="0" w:afterAutospacing="0"/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L</w:t>
            </w:r>
            <w:r>
              <w:rPr>
                <w:rFonts w:ascii="Helvetica" w:hAnsi="Helvetica" w:cs="Helvetica"/>
                <w:color w:val="000000"/>
                <w:sz w:val="17"/>
                <w:szCs w:val="17"/>
                <w:shd w:val="clear" w:color="auto" w:fill="FFFFFF"/>
                <w:vertAlign w:val="subscript"/>
              </w:rPr>
              <w:t>?</w:t>
            </w: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=10·lg(10</w:t>
            </w:r>
            <w:r>
              <w:rPr>
                <w:rFonts w:ascii="Helvetica" w:hAnsi="Helvetica" w:cs="Helvetica"/>
                <w:color w:val="000000"/>
                <w:sz w:val="17"/>
                <w:szCs w:val="17"/>
                <w:shd w:val="clear" w:color="auto" w:fill="FFFFFF"/>
                <w:vertAlign w:val="superscript"/>
              </w:rPr>
              <w:t>4</w:t>
            </w: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+10</w:t>
            </w:r>
            <w:r>
              <w:rPr>
                <w:rFonts w:ascii="Helvetica" w:hAnsi="Helvetica" w:cs="Helvetica"/>
                <w:color w:val="000000"/>
                <w:sz w:val="17"/>
                <w:szCs w:val="17"/>
                <w:shd w:val="clear" w:color="auto" w:fill="FFFFFF"/>
                <w:vertAlign w:val="superscript"/>
              </w:rPr>
              <w:t>4,5</w:t>
            </w: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+10</w:t>
            </w:r>
            <w:r>
              <w:rPr>
                <w:rFonts w:ascii="Helvetica" w:hAnsi="Helvetica" w:cs="Helvetica"/>
                <w:color w:val="000000"/>
                <w:sz w:val="17"/>
                <w:szCs w:val="17"/>
                <w:shd w:val="clear" w:color="auto" w:fill="FFFFFF"/>
                <w:vertAlign w:val="superscript"/>
              </w:rPr>
              <w:t>1,7</w:t>
            </w: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+10</w:t>
            </w:r>
            <w:r>
              <w:rPr>
                <w:rFonts w:ascii="Helvetica" w:hAnsi="Helvetica" w:cs="Helvetica"/>
                <w:color w:val="000000"/>
                <w:sz w:val="17"/>
                <w:szCs w:val="17"/>
                <w:shd w:val="clear" w:color="auto" w:fill="FFFFFF"/>
                <w:vertAlign w:val="superscript"/>
              </w:rPr>
              <w:t>1</w:t>
            </w: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+10</w:t>
            </w:r>
            <w:r>
              <w:rPr>
                <w:rFonts w:ascii="Helvetica" w:hAnsi="Helvetica" w:cs="Helvetica"/>
                <w:color w:val="000000"/>
                <w:sz w:val="17"/>
                <w:szCs w:val="17"/>
                <w:shd w:val="clear" w:color="auto" w:fill="FFFFFF"/>
                <w:vertAlign w:val="superscript"/>
              </w:rPr>
              <w:t>4,5</w:t>
            </w: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+10</w:t>
            </w:r>
            <w:r>
              <w:rPr>
                <w:rFonts w:ascii="Helvetica" w:hAnsi="Helvetica" w:cs="Helvetica"/>
                <w:color w:val="000000"/>
                <w:sz w:val="17"/>
                <w:szCs w:val="17"/>
                <w:shd w:val="clear" w:color="auto" w:fill="FFFFFF"/>
                <w:vertAlign w:val="superscript"/>
              </w:rPr>
              <w:t>4,2</w:t>
            </w:r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)=49,5 дБ</w:t>
            </w:r>
          </w:p>
          <w:p w14:paraId="246D17B2" w14:textId="0FAE8B13" w:rsidR="005B4F08" w:rsidRPr="00043B35" w:rsidRDefault="005B4F08" w:rsidP="005B4F08">
            <w:pPr>
              <w:pStyle w:val="3"/>
              <w:shd w:val="clear" w:color="auto" w:fill="FFFFFF"/>
              <w:spacing w:after="0"/>
              <w:outlineLvl w:val="2"/>
              <w:rPr>
                <w:b w:val="0"/>
                <w:bCs w:val="0"/>
                <w:color w:val="183741"/>
                <w:sz w:val="28"/>
                <w:szCs w:val="28"/>
                <w:lang w:val="ru-RU"/>
              </w:rPr>
            </w:pPr>
          </w:p>
        </w:tc>
      </w:tr>
    </w:tbl>
    <w:p w14:paraId="13331803" w14:textId="77777777" w:rsidR="00B111E5" w:rsidRPr="00043B35" w:rsidRDefault="00B111E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B111E5" w:rsidRPr="00043B3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2C"/>
    <w:rsid w:val="00043B35"/>
    <w:rsid w:val="000B02A5"/>
    <w:rsid w:val="001E0935"/>
    <w:rsid w:val="001E4CFE"/>
    <w:rsid w:val="002579E1"/>
    <w:rsid w:val="002C172C"/>
    <w:rsid w:val="00426828"/>
    <w:rsid w:val="004779C5"/>
    <w:rsid w:val="004F2326"/>
    <w:rsid w:val="004F5FF4"/>
    <w:rsid w:val="004F7A8E"/>
    <w:rsid w:val="005603CF"/>
    <w:rsid w:val="005B4F08"/>
    <w:rsid w:val="00934DB0"/>
    <w:rsid w:val="00B111E5"/>
    <w:rsid w:val="00B50B92"/>
    <w:rsid w:val="00BE3C40"/>
    <w:rsid w:val="00C248CD"/>
    <w:rsid w:val="00D0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3DE9"/>
  <w15:chartTrackingRefBased/>
  <w15:docId w15:val="{5D2A3703-8EB2-4589-9B52-D7680E86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8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B02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B02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20">
    <w:name w:val="Заголовок 2 Знак"/>
    <w:basedOn w:val="a0"/>
    <w:link w:val="2"/>
    <w:uiPriority w:val="9"/>
    <w:semiHidden/>
    <w:rsid w:val="00C248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1E0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18</cp:revision>
  <dcterms:created xsi:type="dcterms:W3CDTF">2023-02-18T14:33:00Z</dcterms:created>
  <dcterms:modified xsi:type="dcterms:W3CDTF">2023-02-18T14:55:00Z</dcterms:modified>
</cp:coreProperties>
</file>