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Inter" w:cs="Inter" w:eastAsia="Inter" w:hAnsi="Inter"/>
          <w:b/>
          <w:bCs/>
          <w:color w:val="1A1A1A"/>
          <w:sz w:val="44"/>
          <w:szCs w:val="44"/>
        </w:rPr>
        <w:t xml:space="preserve">Who Does What</w:t>
      </w:r>
    </w:p>
    <w:p>
      <w:pPr>
        <w:pBdr>
          <w:bottom w:val="single" w:color="CDF851" w:sz="6" w:space="6"/>
        </w:pBdr>
        <w:spacing w:after="0" w:before="40"/>
      </w:pPr>
      <w:r>
        <w:rPr>
          <w:rFonts w:ascii="Inter" w:cs="Inter" w:eastAsia="Inter" w:hAnsi="Inter"/>
          <w:color w:val="3E3F41"/>
          <w:sz w:val="20"/>
          <w:szCs w:val="20"/>
        </w:rPr>
        <w:t xml:space="preserve">Campaign Ops  ×  Campaign Leads  ×  Audience Development</w:t>
      </w:r>
    </w:p>
    <w:p>
      <w:pPr>
        <w:spacing w:after="0" w:before="160"/>
      </w:pPr>
    </w:p>
    <w:p>
      <w:pPr>
        <w:spacing w:after="60" w:before="60"/>
      </w:pPr>
      <w:r>
        <w:rPr>
          <w:rFonts w:ascii="Inter" w:cs="Inter" w:eastAsia="Inter" w:hAnsi="Inter"/>
          <w:color w:val="3E3F41"/>
          <w:sz w:val="20"/>
          <w:szCs w:val="20"/>
        </w:rPr>
        <w:t xml:space="preserve">Three functions. Three verb sets. No overlap.</w:t>
      </w:r>
    </w:p>
    <w:p>
      <w:pPr>
        <w:pBdr>
          <w:bottom w:val="single" w:color="CDF851" w:sz="3" w:space="4"/>
        </w:pBdr>
        <w:spacing w:after="80" w:before="280"/>
      </w:pPr>
      <w:r>
        <w:rPr>
          <w:rFonts w:ascii="Inter" w:cs="Inter" w:eastAsia="Inter" w:hAnsi="Inter"/>
          <w:b/>
          <w:bCs/>
          <w:color w:val="3E3F41"/>
          <w:spacing w:val="60"/>
          <w:sz w:val="18"/>
          <w:szCs w:val="18"/>
        </w:rPr>
        <w:t xml:space="preserve">THE VERBS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single" w:color="3E3F41" w:sz="2"/>
              <w:right w:val="none" w:sz="0"/>
            </w:tcBorders>
            <w:shd w:fill="5A8A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CAMPAIGN OPS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3E3F41" w:sz="2"/>
              <w:right w:val="none" w:sz="0"/>
            </w:tcBorders>
            <w:shd w:fill="2A8E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CAMPAIGN LEADS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3E3F41" w:sz="2"/>
              <w:right w:val="none" w:sz="0"/>
            </w:tcBorders>
            <w:shd w:fill="5C4EA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AUDIENCE DEV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3E3F41"/>
                <w:sz w:val="19"/>
                <w:szCs w:val="19"/>
              </w:rPr>
              <w:t xml:space="preserve">Track · Surface · Flag · Prompt · Confirm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E3F41"/>
                <w:sz w:val="19"/>
                <w:szCs w:val="19"/>
              </w:rPr>
              <w:t xml:space="preserve">Plan · Build · Execute · Present · Own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E3F41"/>
                <w:sz w:val="19"/>
                <w:szCs w:val="19"/>
              </w:rPr>
              <w:t xml:space="preserve">Grow · Target · Optimize · Measure · Amplify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3E3F41"/>
                <w:sz w:val="19"/>
                <w:szCs w:val="19"/>
              </w:rPr>
              <w:t xml:space="preserve">The nervous system. Sees everything, owns nothing.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E3F41"/>
                <w:sz w:val="19"/>
                <w:szCs w:val="19"/>
              </w:rPr>
              <w:t xml:space="preserve">The brain. Decides the story and the plan.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E3F41"/>
                <w:sz w:val="19"/>
                <w:szCs w:val="19"/>
              </w:rPr>
              <w:t xml:space="preserve">The growth engine. Gets the story to the audience.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3E3F41"/>
                <w:sz w:val="19"/>
                <w:szCs w:val="19"/>
              </w:rPr>
              <w:t xml:space="preserve">Meg → Jordan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E3F41"/>
                <w:sz w:val="19"/>
                <w:szCs w:val="19"/>
              </w:rPr>
              <w:t xml:space="preserve">Val, Gina, Lexi → Tarek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3E3F41"/>
                <w:sz w:val="19"/>
                <w:szCs w:val="19"/>
              </w:rPr>
              <w:t xml:space="preserve">Tarek (direct)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CDF851" w:sz="12"/>
              <w:bottom w:val="none" w:sz="0"/>
              <w:right w:val="none" w:sz="0"/>
            </w:tcBorders>
            <w:shd w:fill="F8F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If you catch yourself using a verb from another column, you’ve crossed a lane.</w:t>
            </w:r>
          </w:p>
        </w:tc>
      </w:tr>
    </w:tbl>
    <w:p>
      <w:pPr>
        <w:pBdr>
          <w:bottom w:val="single" w:color="CDF851" w:sz="3" w:space="4"/>
        </w:pBdr>
        <w:spacing w:after="80" w:before="280"/>
      </w:pPr>
      <w:r>
        <w:rPr>
          <w:rFonts w:ascii="Inter" w:cs="Inter" w:eastAsia="Inter" w:hAnsi="Inter"/>
          <w:b/>
          <w:bCs/>
          <w:color w:val="3E3F41"/>
          <w:spacing w:val="60"/>
          <w:sz w:val="18"/>
          <w:szCs w:val="18"/>
        </w:rPr>
        <w:t xml:space="preserve">THE FIVE HARD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none" w:sz="0"/>
              <w:left w:val="none" w:sz="0"/>
              <w:bottom w:val="single" w:color="3E3F41" w:sz="2"/>
              <w:right w:val="none" w:sz="0"/>
            </w:tcBorders>
            <w:shd w:fill="F0F0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6"/>
                <w:szCs w:val="16"/>
              </w:rPr>
              <w:t xml:space="preserve">QUESTION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3E3F41" w:sz="2"/>
              <w:right w:val="none" w:sz="0"/>
            </w:tcBorders>
            <w:shd w:fill="F0F0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3E3F41"/>
                <w:sz w:val="16"/>
                <w:szCs w:val="16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decides the campaign narrative?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Campaign Leads. Always.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tracks cross-department status?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Campaign Ops. Nobody else sees the full picture.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owns per-artist budget allocation?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Campaign Leads (PMs submit quarterly).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surfaces budget divergence?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Campaign Ops flags the gap. Leads explains the why.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holds the annual P&amp;L number?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TBD. Previously Val. Not Campaign Ops.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briefs departments on strategy?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Campaign Leads. Ops distributes, Leads directs.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flags a missed deadline?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Campaign Ops. 14 days out, then 7, then leadership.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decides social/content strategy?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Audience Development.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measures KPIs + engagement?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Audience Development.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processes meeting transcripts?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Campaign Ops. Always separated from editorial.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maintains TEMPO + Airtable infra?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Campaign Ops.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Who knows what every dept is doing?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Campaign Ops. That’s the whole point.</w:t>
            </w:r>
          </w:p>
        </w:tc>
      </w:tr>
    </w:tbl>
    <w:p>
      <w:r>
        <w:br w:type="page"/>
      </w:r>
    </w:p>
    <w:p>
      <w:pPr>
        <w:spacing w:after="0" w:before="100"/>
      </w:pPr>
      <w:r>
        <w:rPr>
          <w:rFonts w:ascii="Inter" w:cs="Inter" w:eastAsia="Inter" w:hAnsi="Inter"/>
          <w:b/>
          <w:bCs/>
          <w:color w:val="1A1A1A"/>
          <w:sz w:val="40"/>
          <w:szCs w:val="40"/>
        </w:rPr>
        <w:t xml:space="preserve">This Week</w:t>
      </w:r>
    </w:p>
    <w:p>
      <w:pPr>
        <w:pBdr>
          <w:bottom w:val="single" w:color="FF4A23" w:sz="6" w:space="6"/>
        </w:pBdr>
        <w:spacing w:after="0" w:before="40"/>
      </w:pPr>
      <w:r>
        <w:rPr>
          <w:rFonts w:ascii="Inter" w:cs="Inter" w:eastAsia="Inter" w:hAnsi="Inter"/>
          <w:color w:val="3E3F41"/>
          <w:sz w:val="20"/>
          <w:szCs w:val="20"/>
        </w:rPr>
        <w:t xml:space="preserve">How we keep things flowing while we build the rest</w:t>
      </w:r>
    </w:p>
    <w:p>
      <w:pPr>
        <w:spacing w:after="0" w:before="120"/>
      </w:pPr>
    </w:p>
    <w:p>
      <w:pPr>
        <w:spacing w:after="60" w:before="60"/>
      </w:pPr>
      <w:r>
        <w:rPr>
          <w:rFonts w:ascii="Inter" w:cs="Inter" w:eastAsia="Inter" w:hAnsi="Inter"/>
          <w:color w:val="3E3F41"/>
          <w:sz w:val="20"/>
          <w:szCs w:val="20"/>
        </w:rPr>
        <w:t xml:space="preserve">The full framework takes time. What matters right now is that nothing falls through the cracks during the transition. Here’s what’s already running and what needs to start immediately.</w:t>
      </w:r>
    </w:p>
    <w:p>
      <w:pPr>
        <w:pBdr>
          <w:bottom w:val="single" w:color="CDF851" w:sz="3" w:space="4"/>
        </w:pBdr>
        <w:spacing w:after="80" w:before="280"/>
      </w:pPr>
      <w:r>
        <w:rPr>
          <w:rFonts w:ascii="Inter" w:cs="Inter" w:eastAsia="Inter" w:hAnsi="Inter"/>
          <w:b/>
          <w:bCs/>
          <w:color w:val="3E3F41"/>
          <w:spacing w:val="60"/>
          <w:sz w:val="18"/>
          <w:szCs w:val="18"/>
        </w:rPr>
        <w:t xml:space="preserve">ALREADY RUNNING — NO CHANGE NEEDED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Active Projects meeting prep + follow-up: </w:t>
      </w:r>
      <w:r>
        <w:rPr>
          <w:rFonts w:ascii="Inter" w:cs="Inter" w:eastAsia="Inter" w:hAnsi="Inter"/>
          <w:color w:val="3E3F41"/>
          <w:sz w:val="20"/>
          <w:szCs w:val="20"/>
        </w:rPr>
        <w:t xml:space="preserve">Campaign Ops produces Goal Briefs, processes transcripts, distributes notes + action items. This continues unchanged.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Artist briefings + prep packages: </w:t>
      </w:r>
      <w:r>
        <w:rPr>
          <w:rFonts w:ascii="Inter" w:cs="Inter" w:eastAsia="Inter" w:hAnsi="Inter"/>
          <w:color w:val="3E3F41"/>
          <w:sz w:val="20"/>
          <w:szCs w:val="20"/>
        </w:rPr>
        <w:t xml:space="preserve">Campaign Ops produces and distributes for new signings and key roster moments. Campaign Leads receives and acts.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TEMPO + Airtable: </w:t>
      </w:r>
      <w:r>
        <w:rPr>
          <w:rFonts w:ascii="Inter" w:cs="Inter" w:eastAsia="Inter" w:hAnsi="Inter"/>
          <w:color w:val="3E3F41"/>
          <w:sz w:val="20"/>
          <w:szCs w:val="20"/>
        </w:rPr>
        <w:t xml:space="preserve">Campaign Ops maintains the infrastructure. 113 artists tracked with real team assignments.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Workability monitoring: </w:t>
      </w:r>
      <w:r>
        <w:rPr>
          <w:rFonts w:ascii="Inter" w:cs="Inter" w:eastAsia="Inter" w:hAnsi="Inter"/>
          <w:color w:val="3E3F41"/>
          <w:sz w:val="20"/>
          <w:szCs w:val="20"/>
        </w:rPr>
        <w:t xml:space="preserve">Campaign Ops surfaces Runway/RDX gaps. 100% of roster showing Unknown on SAA and SAMP — we’re already flagging this.</w:t>
      </w:r>
    </w:p>
    <w:p>
      <w:pPr>
        <w:pBdr>
          <w:bottom w:val="single" w:color="CDF851" w:sz="3" w:space="4"/>
        </w:pBdr>
        <w:spacing w:after="80" w:before="280"/>
      </w:pPr>
      <w:r>
        <w:rPr>
          <w:rFonts w:ascii="Inter" w:cs="Inter" w:eastAsia="Inter" w:hAnsi="Inter"/>
          <w:b/>
          <w:bCs/>
          <w:color w:val="3E3F41"/>
          <w:spacing w:val="60"/>
          <w:sz w:val="18"/>
          <w:szCs w:val="18"/>
        </w:rPr>
        <w:t xml:space="preserve">START THIS WEEK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1. Budget visibility handshake </w:t>
      </w:r>
      <w:r>
        <w:rPr>
          <w:rFonts w:ascii="Inter" w:cs="Inter" w:eastAsia="Inter" w:hAnsi="Inter"/>
          <w:color w:val="3E3F41"/>
          <w:sz w:val="20"/>
          <w:szCs w:val="20"/>
        </w:rPr>
        <w:t xml:space="preserve">(Campaign Ops + Finance)</w:t>
      </w:r>
    </w:p>
    <w:p>
      <w:pPr>
        <w:spacing w:after="60" w:before="60"/>
      </w:pPr>
      <w:r>
        <w:rPr>
          <w:rFonts w:ascii="Inter" w:cs="Inter" w:eastAsia="Inter" w:hAnsi="Inter"/>
          <w:color w:val="3E3F41"/>
          <w:sz w:val="20"/>
          <w:szCs w:val="20"/>
        </w:rPr>
        <w:t xml:space="preserve">Ian’s team tracks spend in Console. Campaign Ops starts receiving the monthly forecast vs. actuals view so we can surface divergence. We don’t approve or deny. We make the numbers visible.</w:t>
      </w:r>
    </w:p>
    <w:p>
      <w:pPr>
        <w:spacing w:after="0" w:before="40"/>
      </w:pPr>
    </w:p>
    <w:p>
      <w:pPr>
        <w:spacing w:after="60" w:before="6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2. Department lead-time prompts </w:t>
      </w:r>
      <w:r>
        <w:rPr>
          <w:rFonts w:ascii="Inter" w:cs="Inter" w:eastAsia="Inter" w:hAnsi="Inter"/>
          <w:color w:val="3E3F41"/>
          <w:sz w:val="20"/>
          <w:szCs w:val="20"/>
        </w:rPr>
        <w:t xml:space="preserve">(Campaign Ops → Departments)</w:t>
      </w:r>
    </w:p>
    <w:p>
      <w:pPr>
        <w:spacing w:after="60" w:before="60"/>
      </w:pPr>
      <w:r>
        <w:rPr>
          <w:rFonts w:ascii="Inter" w:cs="Inter" w:eastAsia="Inter" w:hAnsi="Inter"/>
          <w:color w:val="3E3F41"/>
          <w:sz w:val="20"/>
          <w:szCs w:val="20"/>
        </w:rPr>
        <w:t xml:space="preserve">Using the Orbit phase model, Campaign Ops begins prompting departments when their activation window opens. Pre-Release triggers: pitch windows for Commercial Partnerships, press timelines for Publicity, creative asset deadlines for Content. No new meetings — just timely flags via Teams.</w:t>
      </w:r>
    </w:p>
    <w:p>
      <w:pPr>
        <w:spacing w:after="0" w:before="40"/>
      </w:pPr>
    </w:p>
    <w:p>
      <w:pPr>
        <w:spacing w:after="60" w:before="6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3. Handoff protocol with Campaign Leads </w:t>
      </w:r>
      <w:r>
        <w:rPr>
          <w:rFonts w:ascii="Inter" w:cs="Inter" w:eastAsia="Inter" w:hAnsi="Inter"/>
          <w:color w:val="3E3F41"/>
          <w:sz w:val="20"/>
          <w:szCs w:val="20"/>
        </w:rPr>
        <w:t xml:space="preserve">(Campaign Ops → Campaign Leads)</w:t>
      </w:r>
    </w:p>
    <w:p>
      <w:pPr>
        <w:spacing w:after="60" w:before="60"/>
      </w:pPr>
      <w:r>
        <w:rPr>
          <w:rFonts w:ascii="Inter" w:cs="Inter" w:eastAsia="Inter" w:hAnsi="Inter"/>
          <w:color w:val="3E3F41"/>
          <w:sz w:val="20"/>
          <w:szCs w:val="20"/>
        </w:rPr>
        <w:t xml:space="preserve">Simple rule: when Campaign Ops surfaces a gap or a risk, it goes to the relevant Campaign Lead (PM). The PM decides what to do about it. Campaign Ops tracks whether it got resolved. If it didn’t, Campaign Ops escalates — first to Leads, then to leadership.</w:t>
      </w:r>
    </w:p>
    <w:p>
      <w:pPr>
        <w:spacing w:after="0" w:before="40"/>
      </w:pPr>
    </w:p>
    <w:p>
      <w:pPr>
        <w:spacing w:after="60" w:before="6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4. Val’s knowledge capture </w:t>
      </w:r>
      <w:r>
        <w:rPr>
          <w:rFonts w:ascii="Inter" w:cs="Inter" w:eastAsia="Inter" w:hAnsi="Inter"/>
          <w:color w:val="3E3F41"/>
          <w:sz w:val="20"/>
          <w:szCs w:val="20"/>
        </w:rPr>
        <w:t xml:space="preserve">(Campaign Ops + Campaign Leads)</w:t>
      </w:r>
    </w:p>
    <w:p>
      <w:pPr>
        <w:spacing w:after="60" w:before="60"/>
      </w:pPr>
      <w:r>
        <w:rPr>
          <w:rFonts w:ascii="Inter" w:cs="Inter" w:eastAsia="Inter" w:hAnsi="Inter"/>
          <w:color w:val="3E3F41"/>
          <w:sz w:val="20"/>
          <w:szCs w:val="20"/>
        </w:rPr>
        <w:t xml:space="preserve">Val’s institutional knowledge on budget precedent, artist spend history, and approval patterns needs to be documented before her departure. Campaign Ops facilitates the capture. Campaign Leads owns the resulting playbook.</w:t>
      </w:r>
    </w:p>
    <w:p>
      <w:pPr>
        <w:pBdr>
          <w:bottom w:val="single" w:color="CDF851" w:sz="3" w:space="4"/>
        </w:pBdr>
        <w:spacing w:after="80" w:before="280"/>
      </w:pPr>
      <w:r>
        <w:rPr>
          <w:rFonts w:ascii="Inter" w:cs="Inter" w:eastAsia="Inter" w:hAnsi="Inter"/>
          <w:b/>
          <w:bCs/>
          <w:color w:val="3E3F41"/>
          <w:spacing w:val="60"/>
          <w:sz w:val="18"/>
          <w:szCs w:val="18"/>
        </w:rPr>
        <w:t xml:space="preserve">NOT THIS WEEK — BUT SOON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3400"/>
            <w:tcBorders>
              <w:top w:val="none" w:sz="0"/>
              <w:left w:val="none" w:sz="0"/>
              <w:bottom w:val="single" w:color="3E3F41" w:sz="2"/>
              <w:right w:val="none" w:sz="0"/>
            </w:tcBorders>
            <w:shd w:fill="F0F0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6"/>
                <w:szCs w:val="16"/>
              </w:rPr>
              <w:t xml:space="preserve">WHAT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3E3F41" w:sz="2"/>
              <w:right w:val="none" w:sz="0"/>
            </w:tcBorders>
            <w:shd w:fill="F0F0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3E3F41"/>
                <w:sz w:val="16"/>
                <w:szCs w:val="16"/>
              </w:rPr>
              <w:t xml:space="preserve">WHEN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Production Meeting takeover (Scott departing)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Post-July 1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Rights Translation Maps (10 depts remaining)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Rolling through Q2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Dept budget accountability structure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Jordan/Fleck decision — Ops surfaces the gap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TEMPO SSO (Azure/Entra ID)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Pending Brian Lynch provisioning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Full Orbit dept timelines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After Dept Timeline Discovery questionnaire responses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Roster allocation across 3-person team</w:t>
            </w:r>
          </w:p>
        </w:tc>
        <w:tc>
          <w:tcPr>
            <w:tcW w:type="dxa" w:w="5960"/>
            <w:tcBorders>
              <w:top w:val="none" w:sz="0"/>
              <w:left w:val="none" w:sz="0"/>
              <w:bottom w:val="single" w:color="DDDDDA" w:sz="1"/>
              <w:right w:val="none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After TBD third hire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4A23" w:sz="12"/>
              <w:bottom w:val="none" w:sz="0"/>
              <w:right w:val="none" w:sz="0"/>
            </w:tcBorders>
            <w:shd w:fill="F8F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3E3F41"/>
                <w:sz w:val="19"/>
                <w:szCs w:val="19"/>
              </w:rPr>
              <w:t xml:space="preserve">The goal for this week: prove the system works on the artists already in motion. Every gap we catch before it becomes a fire drill is the argument for why this function exists.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Inter" w:cs="Inter" w:eastAsia="Inter" w:hAnsi="Inter"/>
          <w:color w:val="B0A9BE"/>
          <w:sz w:val="24"/>
          <w:szCs w:val="24"/>
        </w:rPr>
        <w:t xml:space="preserve">—</w:t>
      </w:r>
    </w:p>
    <w:p>
      <w:pPr>
        <w:spacing w:after="0" w:before="60"/>
      </w:pPr>
    </w:p>
    <w:p>
      <w:pPr>
        <w:jc w:val="center"/>
      </w:pPr>
      <w:r>
        <w:rPr>
          <w:rFonts w:ascii="Inter" w:cs="Inter" w:eastAsia="Inter" w:hAnsi="Inter"/>
          <w:i/>
          <w:iCs/>
          <w:color w:val="B0A9BE"/>
          <w:sz w:val="18"/>
          <w:szCs w:val="18"/>
        </w:rPr>
        <w:t xml:space="preserve">Full responsibility map available as companion document.</w:t>
      </w:r>
    </w:p>
    <w:sectPr>
      <w:headerReference w:type="default" r:id="rId7"/>
      <w:footerReference w:type="default" r:id="rId8"/>
      <w:pgSz w:w="12240" w:h="15840" w:orient="portrait"/>
      <w:pgMar w:top="12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DD" w:sz="1" w:space="4"/>
      </w:pBdr>
    </w:pPr>
    <w:r>
      <w:rPr>
        <w:rFonts w:ascii="Inter" w:cs="Inter" w:eastAsia="Inter" w:hAnsi="Inter"/>
        <w:color w:val="B0A9BE"/>
        <w:sz w:val="13"/>
        <w:szCs w:val="13"/>
      </w:rPr>
      <w:t xml:space="preserve">Meg Hourihan  ·  RCA Records  ·  March 24, 2026  ·  Working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/>
        <w:bCs/>
        <w:color w:val="B0A9BE"/>
        <w:sz w:val="13"/>
        <w:szCs w:val="13"/>
      </w:rPr>
      <w:t xml:space="preserve">CAMPAIGN OPS × CAMPAIGN LEADS  | 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2026-03-25T03:35:13.846Z</dcterms:created>
  <dcterms:modified xsi:type="dcterms:W3CDTF">2026-03-25T03:35:13.847Z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