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54" w:lineRule="auto"/>
        <w:jc w:val="center"/>
      </w:pPr>
      <w:r>
        <w:t>Data Quality Challenge Report</w:t>
      </w:r>
    </w:p>
    <w:p>
      <w:pPr>
        <w:pStyle w:val="Subtitle"/>
        <w:spacing w:after="40" w:line="254" w:lineRule="auto"/>
        <w:jc w:val="center"/>
      </w:pPr>
      <w:r>
        <w:t>Assessment of Company X tracking, conversion, attribution, and channel data</w:t>
      </w:r>
    </w:p>
    <w:p>
      <w:pPr>
        <w:spacing w:after="40" w:line="254" w:lineRule="auto"/>
        <w:jc w:val="center"/>
      </w:pPr>
      <w:r>
        <w:rPr>
          <w:color w:val="5F5F5F"/>
          <w:sz w:val="20"/>
        </w:rPr>
        <w:t>Prepared from the final analysis notebook for the HAMS hiring challenge</w:t>
      </w:r>
    </w:p>
    <w:p>
      <w:pPr>
        <w:spacing w:after="40" w:line="254" w:lineRule="auto"/>
        <w:jc w:val="center"/>
      </w:pPr>
      <w:r>
        <w:rPr>
          <w:color w:val="5F5F5F"/>
          <w:sz w:val="19"/>
        </w:rPr>
        <w:t>Data sources: session_sources, conversions, conversions_backend, api_adwords_costs, attribution_customer_journey</w:t>
      </w:r>
    </w:p>
    <w:p>
      <w:pPr>
        <w:pStyle w:val="Heading1"/>
        <w:spacing w:after="40" w:line="254" w:lineRule="auto"/>
      </w:pPr>
      <w:r>
        <w:t>Executive Summary</w:t>
      </w:r>
    </w:p>
    <w:p>
      <w:pPr>
        <w:spacing w:after="40" w:line="254" w:lineRule="auto"/>
      </w:pPr>
      <w:r>
        <w:t>The dataset contains several material data-quality issues rather than isolated cosmetic anomalies. The main risks are incomplete campaign-cost coverage, systematic under-recording of frontend conversions, and attribution records that link conversions to the wrong user journeys.</w:t>
      </w:r>
    </w:p>
    <w:p>
      <w:pPr>
        <w:pStyle w:val="ListBullet"/>
        <w:spacing w:after="40" w:line="254" w:lineRule="auto"/>
      </w:pPr>
      <w:r>
        <w:t>AdWords cost coverage is 97.16% overall; three campaigns explain most of the gap, especially campaign_id_79.</w:t>
      </w:r>
    </w:p>
    <w:p>
      <w:pPr>
        <w:pStyle w:val="ListBullet"/>
        <w:spacing w:after="40" w:line="254" w:lineRule="auto"/>
      </w:pPr>
      <w:r>
        <w:t>Frontend conversions are below backend conversions on every observed day.</w:t>
      </w:r>
    </w:p>
    <w:p>
      <w:pPr>
        <w:pStyle w:val="ListBullet"/>
        <w:spacing w:after="40" w:line="254" w:lineRule="auto"/>
      </w:pPr>
      <w:r>
        <w:t>Frontend-to-backend reconciliation finds 345 missing frontend conversions, 172 revenue mismatches, and 16 user mismatches.</w:t>
      </w:r>
    </w:p>
    <w:p>
      <w:pPr>
        <w:pStyle w:val="ListBullet"/>
        <w:spacing w:after="40" w:line="254" w:lineRule="auto"/>
      </w:pPr>
      <w:r>
        <w:t>Attribution shows 158 conversions with bad ihc sums and 2,584 conversions affected by cross-user session linkage.</w:t>
      </w:r>
    </w:p>
    <w:p>
      <w:pPr>
        <w:pStyle w:val="ListBullet"/>
        <w:spacing w:after="40" w:line="254" w:lineRule="auto"/>
      </w:pPr>
      <w:r>
        <w:t>Channel reporting is weakened by inconsistent naming and visible instability in several channels.</w:t>
      </w:r>
    </w:p>
    <w:p>
      <w:pPr>
        <w:pStyle w:val="Heading1"/>
        <w:spacing w:after="40" w:line="254" w:lineRule="auto"/>
      </w:pPr>
      <w:r>
        <w:t>Scope and Method</w:t>
      </w:r>
    </w:p>
    <w:p>
      <w:pPr>
        <w:spacing w:after="40" w:line="254" w:lineRule="auto"/>
      </w:pPr>
      <w:r>
        <w:t>The report follows the challenge questions directly. The backend conversion table is treated as the source of truth where specified in the prompt. For campaign-cost coverage, session rows are used as the closest available proxy for paid clicks because the schema does not include a separate click-event table.</w:t>
      </w:r>
    </w:p>
    <w:p>
      <w:pPr>
        <w:pStyle w:val="ListBullet"/>
        <w:spacing w:after="40" w:line="254" w:lineRule="auto"/>
      </w:pPr>
      <w:r>
        <w:t>Q1: compare api_adwords_costs with session_sources by campaign and day.</w:t>
      </w:r>
    </w:p>
    <w:p>
      <w:pPr>
        <w:pStyle w:val="ListBullet"/>
        <w:spacing w:after="40" w:line="254" w:lineRule="auto"/>
      </w:pPr>
      <w:r>
        <w:t>Q2–Q3: inspect frontend conversion stability and reconcile conversions against conversions_backend.</w:t>
      </w:r>
    </w:p>
    <w:p>
      <w:pPr>
        <w:pStyle w:val="ListBullet"/>
        <w:spacing w:after="40" w:line="254" w:lineRule="auto"/>
      </w:pPr>
      <w:r>
        <w:t>Q4: test whether attribution_customer_journey has sensible weights and user linkage.</w:t>
      </w:r>
    </w:p>
    <w:p>
      <w:pPr>
        <w:pStyle w:val="ListBullet"/>
        <w:spacing w:after="40" w:line="254" w:lineRule="auto"/>
      </w:pPr>
      <w:r>
        <w:t>Q5–Q6: assess channel consistency/stability and flag additional anomalies.</w:t>
      </w:r>
    </w:p>
    <w:p>
      <w:pPr>
        <w:pStyle w:val="Heading1"/>
        <w:spacing w:after="40" w:line="254" w:lineRule="auto"/>
      </w:pPr>
      <w:r>
        <w:t>1. Are AdWords costs fully covered in session data?</w:t>
      </w:r>
    </w:p>
    <w:p>
      <w:pPr>
        <w:spacing w:after="40" w:line="254" w:lineRule="auto"/>
      </w:pPr>
      <w:r>
        <w:t>No. Coverage is high but incomplete, and the gap is concentrated in a small number of campaigns.</w:t>
      </w:r>
    </w:p>
    <w:p>
      <w:pPr>
        <w:pStyle w:val="Heading2"/>
        <w:spacing w:after="40" w:line="254" w:lineRule="auto"/>
      </w:pPr>
      <w:r>
        <w:t>Headline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Metric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Value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Total API cost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€455,399.80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Total session cost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€442,453.33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Cost gap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€12,946.48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Cost coverage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97.16%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Click coverage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93.18%</w:t>
            </w:r>
          </w:p>
        </w:tc>
      </w:tr>
    </w:tbl>
    <w:p>
      <w:pPr>
        <w:spacing w:after="40" w:line="254" w:lineRule="auto"/>
      </w:pPr>
    </w:p>
    <w:p>
      <w:pPr>
        <w:pStyle w:val="Heading2"/>
        <w:spacing w:after="40" w:line="254" w:lineRule="auto"/>
      </w:pPr>
      <w:r>
        <w:t>Campaigns with the largest cost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Campaign ID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Cost gap (€)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Click gap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campaign_id_79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11,756.16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2,342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campaign_id_97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254.48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272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campaign_id_121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174.83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246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campaign_id_73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153.74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830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campaign_id_94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81.01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6</w:t>
            </w:r>
          </w:p>
        </w:tc>
      </w:tr>
    </w:tbl>
    <w:p>
      <w:pPr>
        <w:spacing w:after="40" w:line="254" w:lineRule="auto"/>
      </w:pPr>
    </w:p>
    <w:p>
      <w:pPr>
        <w:pStyle w:val="ListBullet"/>
        <w:spacing w:after="40" w:line="254" w:lineRule="auto"/>
      </w:pPr>
      <w:r>
        <w:t>campaign_id_79 is the dominant issue: it carries substantial API cost but zero session cost.</w:t>
      </w:r>
    </w:p>
    <w:p>
      <w:pPr>
        <w:pStyle w:val="ListBullet"/>
        <w:spacing w:after="40" w:line="254" w:lineRule="auto"/>
      </w:pPr>
      <w:r>
        <w:t>campaign_id_97 and campaign_id_121 appear in API cost data but have no matching session rows.</w:t>
      </w:r>
    </w:p>
    <w:p>
      <w:pPr>
        <w:pStyle w:val="ListBullet"/>
        <w:spacing w:after="40" w:line="254" w:lineRule="auto"/>
      </w:pPr>
      <w:r>
        <w:t>Excluding campaigns 79, 97, and 121 raises cost coverage to 99.83%, which shows the problem is concentrated.</w:t>
      </w:r>
    </w:p>
    <w:p>
      <w:pPr>
        <w:spacing w:after="40" w:line="254" w:lineRule="auto"/>
      </w:pPr>
      <w:r>
        <w:rPr>
          <w:b/>
        </w:rPr>
        <w:t xml:space="preserve">Conclusion. </w:t>
      </w:r>
      <w:r>
        <w:t>AdWords costs are not fully covered in session data; campaign_id_79 should be investigated first.</w:t>
      </w:r>
    </w:p>
    <w:p>
      <w:pPr>
        <w:pStyle w:val="Heading1"/>
        <w:spacing w:after="40" w:line="254" w:lineRule="auto"/>
      </w:pPr>
      <w:r>
        <w:t>2. Are conversions stable over time? Any pattern?</w:t>
      </w:r>
    </w:p>
    <w:p>
      <w:pPr>
        <w:spacing w:after="40" w:line="254" w:lineRule="auto"/>
      </w:pPr>
      <w:r>
        <w:t>Over 15 July 2021 to 31 July 2021, daily frontend conversions appear broadly stable, but two patterns stand out.</w:t>
      </w:r>
    </w:p>
    <w:p>
      <w:pPr>
        <w:pStyle w:val="ListBullet"/>
        <w:spacing w:after="40" w:line="254" w:lineRule="auto"/>
      </w:pPr>
      <w:r>
        <w:t>There is a clear spike on 30 July 2021, when frontend conversions rise to 2,294 and backend conversions to 2,336.</w:t>
      </w:r>
    </w:p>
    <w:p>
      <w:pPr>
        <w:pStyle w:val="ListBullet"/>
        <w:spacing w:after="40" w:line="254" w:lineRule="auto"/>
      </w:pPr>
      <w:r>
        <w:t>The frontend table is below the backend table every day in both counts and revenue, which points to systematic under-recording.</w:t>
      </w:r>
    </w:p>
    <w:p>
      <w:pPr>
        <w:pStyle w:val="Heading2"/>
        <w:spacing w:after="40" w:line="254" w:lineRule="auto"/>
      </w:pPr>
      <w:r>
        <w:t>Illustrative daily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Date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Backend count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Frontend count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Count gap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Backend revenue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Frontend revenue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2021-07-15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986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968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€49,637.75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€48,140.04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2021-07-22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851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830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€39,924.15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€38,041.52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2021-07-30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2,336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2,294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€138,900.90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€134,246.42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2021-07-31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1,324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1,303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€74,788.97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€72,274.09</w:t>
            </w:r>
          </w:p>
        </w:tc>
      </w:tr>
    </w:tbl>
    <w:p>
      <w:pPr>
        <w:spacing w:after="40" w:line="254" w:lineRule="auto"/>
      </w:pPr>
    </w:p>
    <w:p>
      <w:pPr>
        <w:spacing w:after="40" w:line="254" w:lineRule="auto"/>
      </w:pPr>
      <w:r>
        <w:rPr>
          <w:b/>
        </w:rPr>
        <w:t xml:space="preserve">Conclusion. </w:t>
      </w:r>
      <w:r>
        <w:t>Conversions are reasonably stable over time, but the persistent frontend-under-backend gap is the stronger data-quality signal.</w:t>
      </w:r>
    </w:p>
    <w:p>
      <w:pPr>
        <w:pStyle w:val="Heading1"/>
        <w:spacing w:after="40" w:line="254" w:lineRule="auto"/>
      </w:pPr>
      <w:r>
        <w:t>3. Does the frontend conversion table reconcile to backend truth?</w:t>
      </w:r>
    </w:p>
    <w:p>
      <w:pPr>
        <w:spacing w:after="40" w:line="254" w:lineRule="auto"/>
      </w:pPr>
      <w:r>
        <w:t>No. The frontend table does not fully reconcile to conversions_backend.</w:t>
      </w:r>
    </w:p>
    <w:p>
      <w:pPr>
        <w:pStyle w:val="Heading2"/>
        <w:spacing w:after="40" w:line="254" w:lineRule="auto"/>
      </w:pPr>
      <w:r>
        <w:t>Reconciliation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Issue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Count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Missing in frontend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345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Missing in backend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Revenue mismatches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172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User mismatches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16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Date mismatches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 w:val="0"/>
                <w:sz w:val="20"/>
              </w:rPr>
              <w:t>Market mismatches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0</w:t>
            </w:r>
          </w:p>
        </w:tc>
      </w:tr>
    </w:tbl>
    <w:p>
      <w:pPr>
        <w:spacing w:after="40" w:line="254" w:lineRule="auto"/>
      </w:pPr>
    </w:p>
    <w:p>
      <w:pPr>
        <w:pStyle w:val="ListBullet"/>
        <w:spacing w:after="40" w:line="254" w:lineRule="auto"/>
      </w:pPr>
      <w:r>
        <w:t>The backend table contains 345 conversions that are missing from the frontend table entirely.</w:t>
      </w:r>
    </w:p>
    <w:p>
      <w:pPr>
        <w:pStyle w:val="ListBullet"/>
        <w:spacing w:after="40" w:line="254" w:lineRule="auto"/>
      </w:pPr>
      <w:r>
        <w:t>All 172 revenue mismatches follow one pattern: frontend revenue is zero while backend revenue is positive.</w:t>
      </w:r>
    </w:p>
    <w:p>
      <w:pPr>
        <w:pStyle w:val="ListBullet"/>
        <w:spacing w:after="40" w:line="254" w:lineRule="auto"/>
      </w:pPr>
      <w:r>
        <w:t>There are also 16 user_id mismatches, so the issue is not purely financial.</w:t>
      </w:r>
    </w:p>
    <w:p>
      <w:pPr>
        <w:spacing w:after="40" w:line="254" w:lineRule="auto"/>
      </w:pPr>
      <w:r>
        <w:rPr>
          <w:b/>
        </w:rPr>
        <w:t xml:space="preserve">Conclusion. </w:t>
      </w:r>
      <w:r>
        <w:t>The main defects are missing frontend rows and zero-revenue frontend rows, which strongly suggests a pipeline-quality issue.</w:t>
      </w:r>
    </w:p>
    <w:p>
      <w:pPr>
        <w:pStyle w:val="Heading1"/>
        <w:spacing w:after="40" w:line="254" w:lineRule="auto"/>
      </w:pPr>
      <w:r>
        <w:t>4. Are attribution results consistent? Do any ihc values not make sense?</w:t>
      </w:r>
    </w:p>
    <w:p>
      <w:pPr>
        <w:spacing w:after="40" w:line="254" w:lineRule="auto"/>
      </w:pPr>
      <w:r>
        <w:t>No. The attribution layer contains material integrity issues.</w:t>
      </w:r>
    </w:p>
    <w:p>
      <w:pPr>
        <w:pStyle w:val="Heading2"/>
        <w:spacing w:after="40" w:line="254" w:lineRule="auto"/>
      </w:pPr>
      <w:r>
        <w:t>Attribution integrity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Check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Result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Conversions with ihc sum materially different from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158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Attribution rows with cross-user mismatch vs backend truth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7,262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Conversions affected by cross-user mismatch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2,584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Attributed session IDs missing from session_sources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0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Attributed conversion IDs missing from backend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0</w:t>
            </w:r>
          </w:p>
        </w:tc>
      </w:tr>
    </w:tbl>
    <w:p>
      <w:pPr>
        <w:spacing w:after="40" w:line="254" w:lineRule="auto"/>
      </w:pPr>
    </w:p>
    <w:p>
      <w:pPr>
        <w:pStyle w:val="ListBullet"/>
        <w:spacing w:after="40" w:line="254" w:lineRule="auto"/>
      </w:pPr>
      <w:r>
        <w:t>The ihc field is expected to sum to 1.0 per conversion; that fails for 158 conversions.</w:t>
      </w:r>
    </w:p>
    <w:p>
      <w:pPr>
        <w:pStyle w:val="ListBullet"/>
        <w:spacing w:after="40" w:line="254" w:lineRule="auto"/>
      </w:pPr>
      <w:r>
        <w:t>The most serious issue is cross-user attribution: in 2,584 conversions, at least one attributed session belongs to a different user.</w:t>
      </w:r>
    </w:p>
    <w:p>
      <w:pPr>
        <w:pStyle w:val="ListBullet"/>
        <w:spacing w:after="40" w:line="254" w:lineRule="auto"/>
      </w:pPr>
      <w:r>
        <w:t>The issue is not explained by orphaned joins alone because the linked session IDs and conversion IDs exist.</w:t>
      </w:r>
    </w:p>
    <w:p>
      <w:pPr>
        <w:spacing w:after="40" w:line="254" w:lineRule="auto"/>
      </w:pPr>
      <w:r>
        <w:rPr>
          <w:b/>
        </w:rPr>
        <w:t xml:space="preserve">Conclusion. </w:t>
      </w:r>
      <w:r>
        <w:t>Attribution is not reliable as-is. The biggest risk is incorrect customer-journey linkage across users.</w:t>
      </w:r>
    </w:p>
    <w:p>
      <w:pPr>
        <w:pStyle w:val="Heading1"/>
        <w:spacing w:after="40" w:line="254" w:lineRule="auto"/>
      </w:pPr>
      <w:r>
        <w:t>5. Bonus — Do we have a channeling issue? Are sessions per channel stable over time?</w:t>
      </w:r>
    </w:p>
    <w:p>
      <w:pPr>
        <w:spacing w:after="40" w:line="254" w:lineRule="auto"/>
      </w:pPr>
      <w:r>
        <w:t>Yes. There are two issues: inconsistent channel naming and visible instability in some channels.</w:t>
      </w:r>
    </w:p>
    <w:p>
      <w:pPr>
        <w:pStyle w:val="Heading2"/>
        <w:spacing w:after="40" w:line="254" w:lineRule="auto"/>
      </w:pPr>
      <w:r>
        <w:t>Examples of inconsistent channel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Observed labels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Recommended standardized label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Direct / Direct Traffic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Direct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SEA - Brand / SEA - Branded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SEA - Brand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SEA - Non-Brand / SEA - Non-branded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SEA - Non-Brand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Shopping - Brand / Shopping - Branded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Shopping - Brand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Shopping - Non Brand / Shopping - Non-branded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Shopping - Non-Brand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Social - Paid / Social Paid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Social - Paid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Social - Organic / Social Organic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Social - Organic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Affiliate / Affiliates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Affiliate</w:t>
            </w:r>
          </w:p>
        </w:tc>
      </w:tr>
    </w:tbl>
    <w:p>
      <w:pPr>
        <w:spacing w:after="40" w:line="254" w:lineRule="auto"/>
      </w:pPr>
    </w:p>
    <w:p>
      <w:pPr>
        <w:pStyle w:val="ListBullet"/>
        <w:spacing w:after="40" w:line="254" w:lineRule="auto"/>
      </w:pPr>
      <w:r>
        <w:t>Without standardization, the same business channel is split across multiple labels.</w:t>
      </w:r>
    </w:p>
    <w:p>
      <w:pPr>
        <w:pStyle w:val="ListBullet"/>
        <w:spacing w:after="40" w:line="254" w:lineRule="auto"/>
      </w:pPr>
      <w:r>
        <w:t>Large channels such as SEO, Direct, SEA - Brand, Shopping - Non-Brand, and Affiliate look relatively stable.</w:t>
      </w:r>
    </w:p>
    <w:p>
      <w:pPr>
        <w:pStyle w:val="ListBullet"/>
        <w:spacing w:after="40" w:line="254" w:lineRule="auto"/>
      </w:pPr>
      <w:r>
        <w:t>Email, Display, Influencers, SEA (no tagging), Video Marketing, and YouTube Video Ads appear materially more volatile.</w:t>
      </w:r>
    </w:p>
    <w:p>
      <w:pPr>
        <w:spacing w:after="40" w:line="254" w:lineRule="auto"/>
      </w:pPr>
      <w:r>
        <w:rPr>
          <w:b/>
        </w:rPr>
        <w:t xml:space="preserve">Conclusion. </w:t>
      </w:r>
      <w:r>
        <w:t>There is a real channeling issue. The first fix is label standardization; the second is investigating the most volatile channels.</w:t>
      </w:r>
    </w:p>
    <w:p>
      <w:pPr>
        <w:pStyle w:val="Heading1"/>
        <w:spacing w:after="40" w:line="254" w:lineRule="auto"/>
      </w:pPr>
      <w:r>
        <w:t>6. Bonus — Other notable issues</w:t>
      </w:r>
    </w:p>
    <w:p>
      <w:pPr>
        <w:pStyle w:val="Heading2"/>
        <w:spacing w:after="40" w:line="254" w:lineRule="auto"/>
      </w:pPr>
      <w:r>
        <w:t>Additional anomalies worth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6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Issue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Count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sz w:val="20"/>
              </w:rPr>
              <w:t>Interpretation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API rows with cost &gt; 0 but clicks = 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Suspicious; may reflect reporting lag, billing oddities, or malformed API data.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Zero-revenue rows in conversions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197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Potential bug in frontend revenue capture; consistent with Q3 findings.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Zero-revenue rows in conversions_backend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Worth checking with business context; some may be valid edge cases.</w:t>
            </w:r>
          </w:p>
        </w:tc>
      </w:tr>
    </w:tbl>
    <w:p>
      <w:pPr>
        <w:spacing w:after="40" w:line="254" w:lineRule="auto"/>
      </w:pPr>
    </w:p>
    <w:p>
      <w:pPr>
        <w:pStyle w:val="Heading1"/>
        <w:spacing w:after="40" w:line="254" w:lineRule="auto"/>
      </w:pPr>
      <w:r>
        <w:t>Recommended Next Actions</w:t>
      </w:r>
    </w:p>
    <w:p>
      <w:pPr>
        <w:pStyle w:val="ListBullet"/>
        <w:spacing w:after="40" w:line="254" w:lineRule="auto"/>
      </w:pPr>
      <w:r>
        <w:t>Reconcile frontend conversions against backend daily and alert on count or revenue gaps.</w:t>
      </w:r>
    </w:p>
    <w:p>
      <w:pPr>
        <w:pStyle w:val="ListBullet"/>
        <w:spacing w:after="40" w:line="254" w:lineRule="auto"/>
      </w:pPr>
      <w:r>
        <w:t>Investigate the frontend zero-revenue bug because all 172 revenue mismatches share the same pattern.</w:t>
      </w:r>
    </w:p>
    <w:p>
      <w:pPr>
        <w:pStyle w:val="ListBullet"/>
        <w:spacing w:after="40" w:line="254" w:lineRule="auto"/>
      </w:pPr>
      <w:r>
        <w:t>Audit campaign_id_79 first, then campaign_id_97 and campaign_id_121.</w:t>
      </w:r>
    </w:p>
    <w:p>
      <w:pPr>
        <w:pStyle w:val="ListBullet"/>
        <w:spacing w:after="40" w:line="254" w:lineRule="auto"/>
      </w:pPr>
      <w:r>
        <w:t>Review attribution join logic to ensure sessions attached to a conversion always belong to the same user.</w:t>
      </w:r>
    </w:p>
    <w:p>
      <w:pPr>
        <w:pStyle w:val="ListBullet"/>
        <w:spacing w:after="40" w:line="254" w:lineRule="auto"/>
      </w:pPr>
      <w:r>
        <w:t>Standardize channel labels upstream and add automated data-quality tests for ihc sums, orphan checks, frontend-vs-backend reconciliation, and campaign coverage.</w:t>
      </w:r>
    </w:p>
    <w:p>
      <w:pPr>
        <w:pStyle w:val="Heading1"/>
        <w:spacing w:after="40" w:line="254" w:lineRule="auto"/>
      </w:pPr>
      <w:r>
        <w:t>Limitations</w:t>
      </w:r>
    </w:p>
    <w:p>
      <w:pPr>
        <w:spacing w:after="40" w:line="254" w:lineRule="auto"/>
      </w:pPr>
      <w:r>
        <w:t>This report is based on the notebook outputs and the prompt’s schema description. The observed conversion window is short (17 days), so stability judgments should be read as within-window findings rather than long-term seasonality claims. For Q1, session rows are used as a proxy for paid clicks because no separate click-event fact table is available.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F5F5F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