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Fraunces" w:hAnsi="Fraunces" w:cs="Fraunces"/>
          <w:b/>
          <w:i w:val="0"/>
          <w:color w:val="6E9179"/>
          <w:sz w:val="44"/>
        </w:rPr>
        <w:t>Zenny</w:t>
      </w:r>
      <w:r>
        <w:rPr>
          <w:rFonts w:ascii="Fraunces" w:hAnsi="Fraunces" w:cs="Fraunces"/>
          <w:b/>
          <w:i w:val="0"/>
          <w:color w:val="E3A24B"/>
          <w:sz w:val="44"/>
        </w:rPr>
        <w:t>.</w:t>
      </w:r>
    </w:p>
    <w:p>
      <w:pPr>
        <w:spacing w:before="120" w:after="40"/>
      </w:pPr>
      <w:r>
        <w:rPr>
          <w:rFonts w:ascii="Fraunces" w:hAnsi="Fraunces" w:cs="Fraunces"/>
          <w:b/>
          <w:i w:val="0"/>
          <w:color w:val="24352E"/>
          <w:sz w:val="31"/>
        </w:rPr>
        <w:t>Technical Budget — 10 Recurring Clients (Production)</w:t>
      </w:r>
    </w:p>
    <w:p>
      <w:pPr>
        <w:spacing w:before="0" w:after="40"/>
      </w:pPr>
      <w:r>
        <w:rPr>
          <w:rFonts w:ascii="Space Mono" w:hAnsi="Space Mono" w:cs="Space Mono"/>
          <w:b w:val="0"/>
          <w:i w:val="0"/>
          <w:color w:val="6B6459"/>
          <w:sz w:val="17"/>
        </w:rPr>
        <w:t>v1  ·  Internal  ·  2026-08-25</w:t>
      </w:r>
    </w:p>
    <w:p>
      <w:pPr>
        <w:pBdr>
          <w:bottom w:val="single" w:sz="8" w:space="1" w:color="6E9179"/>
        </w:pBdr>
        <w:spacing w:after="160"/>
      </w:pPr>
    </w:p>
    <w:p>
      <w:pPr>
        <w:spacing w:before="40" w:after="160"/>
      </w:pPr>
      <w:r>
        <w:rPr>
          <w:rFonts w:ascii="Hanken Grotesk" w:hAnsi="Hanken Grotesk" w:cs="Hanken Grotesk"/>
          <w:b/>
          <w:i w:val="0"/>
          <w:color w:val="6E9179"/>
          <w:sz w:val="20"/>
        </w:rPr>
        <w:t xml:space="preserve">Scope: </w:t>
      </w:r>
      <w:r>
        <w:rPr>
          <w:rFonts w:ascii="Hanken Grotesk" w:hAnsi="Hanken Grotesk" w:cs="Hanken Grotesk"/>
          <w:b w:val="0"/>
          <w:i w:val="0"/>
          <w:color w:val="24352E"/>
          <w:sz w:val="20"/>
        </w:rPr>
        <w:t>infrastructure to run all 4 services — AI Chatbot, Social Media Integration, Analytics Dashboard, AI Email Manager — for 10 paying, recurring clients. Production only, single tier, no build/test phase.</w:t>
      </w:r>
    </w:p>
    <w:p>
      <w:pPr>
        <w:keepNext/>
        <w:spacing w:before="200" w:after="80"/>
        <w:pBdr>
          <w:bottom w:val="single" w:sz="6" w:space="3" w:color="DED6C5"/>
        </w:pBdr>
      </w:pPr>
      <w:r>
        <w:rPr>
          <w:rFonts w:ascii="Fraunces" w:hAnsi="Fraunces" w:cs="Fraunces"/>
          <w:b/>
          <w:i w:val="0"/>
          <w:color w:val="6E9179"/>
          <w:sz w:val="28"/>
        </w:rPr>
        <w:t>Monthly Cost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6E9179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/>
                <w:i w:val="0"/>
                <w:color w:val="FFFFFF"/>
                <w:sz w:val="18"/>
              </w:rPr>
              <w:t>Tool</w:t>
            </w:r>
          </w:p>
        </w:tc>
        <w:tc>
          <w:tcPr>
            <w:tcW w:type="dxa" w:w="3400"/>
            <w:shd w:val="clear" w:color="auto" w:fill="6E9179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/>
                <w:i w:val="0"/>
                <w:color w:val="FFFFFF"/>
                <w:sz w:val="18"/>
              </w:rPr>
              <w:t>Covers</w:t>
            </w:r>
          </w:p>
        </w:tc>
        <w:tc>
          <w:tcPr>
            <w:tcW w:type="dxa" w:w="3400"/>
            <w:shd w:val="clear" w:color="auto" w:fill="6E9179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/>
                <w:i w:val="0"/>
                <w:color w:val="FFFFFF"/>
                <w:sz w:val="18"/>
              </w:rPr>
              <w:t>Cost/mo</w:t>
            </w:r>
          </w:p>
        </w:tc>
      </w:tr>
      <w:tr>
        <w:tc>
          <w:tcPr>
            <w:tcW w:type="dxa" w:w="3400"/>
            <w:shd w:val="clear" w:color="auto" w:fill="FBF8F1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8"/>
              </w:rPr>
              <w:t>Convocore White Label</w:t>
            </w:r>
          </w:p>
        </w:tc>
        <w:tc>
          <w:tcPr>
            <w:tcW w:type="dxa" w:w="3400"/>
            <w:shd w:val="clear" w:color="auto" w:fill="FBF8F1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8"/>
              </w:rPr>
              <w:t>AI Chatbot + Social Media Integration (WhatsApp/Messenger/Instagram, no extra fee) + built-in usage analytics — required from client #1 for multi-client management</w:t>
            </w:r>
          </w:p>
        </w:tc>
        <w:tc>
          <w:tcPr>
            <w:tcW w:type="dxa" w:w="3400"/>
            <w:shd w:val="clear" w:color="auto" w:fill="FBF8F1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8"/>
              </w:rPr>
              <w:t>$199</w:t>
            </w:r>
          </w:p>
        </w:tc>
      </w:tr>
      <w:tr>
        <w:tc>
          <w:tcPr>
            <w:tcW w:type="dxa" w:w="3400"/>
            <w:shd w:val="clear" w:color="auto" w:fill="F1EBDE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8"/>
              </w:rPr>
              <w:t>Hostinger VPS (srv1881104)</w:t>
            </w:r>
          </w:p>
        </w:tc>
        <w:tc>
          <w:tcPr>
            <w:tcW w:type="dxa" w:w="3400"/>
            <w:shd w:val="clear" w:color="auto" w:fill="F1EBDE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8"/>
              </w:rPr>
              <w:t>Hosts n8n (AI Email Manager workflows) + Zenny dashboard</w:t>
            </w:r>
          </w:p>
        </w:tc>
        <w:tc>
          <w:tcPr>
            <w:tcW w:type="dxa" w:w="3400"/>
            <w:shd w:val="clear" w:color="auto" w:fill="F1EBDE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8"/>
              </w:rPr>
              <w:t>$19.49</w:t>
            </w:r>
          </w:p>
        </w:tc>
      </w:tr>
      <w:tr>
        <w:tc>
          <w:tcPr>
            <w:tcW w:type="dxa" w:w="3400"/>
            <w:shd w:val="clear" w:color="auto" w:fill="FBF8F1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8"/>
              </w:rPr>
              <w:t>Supabase</w:t>
            </w:r>
          </w:p>
        </w:tc>
        <w:tc>
          <w:tcPr>
            <w:tcW w:type="dxa" w:w="3400"/>
            <w:shd w:val="clear" w:color="auto" w:fill="FBF8F1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8"/>
              </w:rPr>
              <w:t>Client/lead/order/conversation data</w:t>
            </w:r>
          </w:p>
        </w:tc>
        <w:tc>
          <w:tcPr>
            <w:tcW w:type="dxa" w:w="3400"/>
            <w:shd w:val="clear" w:color="auto" w:fill="FBF8F1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8"/>
              </w:rPr>
              <w:t>$0 (free tier)</w:t>
            </w:r>
          </w:p>
        </w:tc>
      </w:tr>
      <w:tr>
        <w:tc>
          <w:tcPr>
            <w:tcW w:type="dxa" w:w="3400"/>
            <w:shd w:val="clear" w:color="auto" w:fill="F1EBDE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8"/>
              </w:rPr>
              <w:t>Pinecone</w:t>
            </w:r>
          </w:p>
        </w:tc>
        <w:tc>
          <w:tcPr>
            <w:tcW w:type="dxa" w:w="3400"/>
            <w:shd w:val="clear" w:color="auto" w:fill="F1EBDE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8"/>
              </w:rPr>
              <w:t>Knowledge-base embeddings</w:t>
            </w:r>
          </w:p>
        </w:tc>
        <w:tc>
          <w:tcPr>
            <w:tcW w:type="dxa" w:w="3400"/>
            <w:shd w:val="clear" w:color="auto" w:fill="F1EBDE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8"/>
              </w:rPr>
              <w:t>$0 (free tier)</w:t>
            </w:r>
          </w:p>
        </w:tc>
      </w:tr>
      <w:tr>
        <w:tc>
          <w:tcPr>
            <w:tcW w:type="dxa" w:w="3400"/>
            <w:shd w:val="clear" w:color="auto" w:fill="FBF8F1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8"/>
              </w:rPr>
              <w:t>Notion</w:t>
            </w:r>
          </w:p>
        </w:tc>
        <w:tc>
          <w:tcPr>
            <w:tcW w:type="dxa" w:w="3400"/>
            <w:shd w:val="clear" w:color="auto" w:fill="FBF8F1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8"/>
              </w:rPr>
              <w:t>Internal KB/docs (not client-facing)</w:t>
            </w:r>
          </w:p>
        </w:tc>
        <w:tc>
          <w:tcPr>
            <w:tcW w:type="dxa" w:w="3400"/>
            <w:shd w:val="clear" w:color="auto" w:fill="FBF8F1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8"/>
              </w:rPr>
              <w:t>$0 (free tier)</w:t>
            </w:r>
          </w:p>
        </w:tc>
      </w:tr>
      <w:tr>
        <w:tc>
          <w:tcPr>
            <w:tcW w:type="dxa" w:w="3400"/>
            <w:shd w:val="clear" w:color="auto" w:fill="F1EBDE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8"/>
              </w:rPr>
              <w:t>Analytics Dashboard page</w:t>
            </w:r>
          </w:p>
        </w:tc>
        <w:tc>
          <w:tcPr>
            <w:tcW w:type="dxa" w:w="3400"/>
            <w:shd w:val="clear" w:color="auto" w:fill="F1EBDE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8"/>
              </w:rPr>
              <w:t>New dashboard.zeromanuals.com/analytics page on the existing dashboard</w:t>
            </w:r>
          </w:p>
        </w:tc>
        <w:tc>
          <w:tcPr>
            <w:tcW w:type="dxa" w:w="3400"/>
            <w:shd w:val="clear" w:color="auto" w:fill="F1EBDE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8"/>
              </w:rPr>
              <w:t>$0</w:t>
            </w:r>
          </w:p>
        </w:tc>
      </w:tr>
      <w:tr>
        <w:tc>
          <w:tcPr>
            <w:tcW w:type="dxa" w:w="3400"/>
            <w:shd w:val="clear" w:color="auto" w:fill="FBF8F1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8"/>
              </w:rPr>
              <w:t>AI Email Manager</w:t>
            </w:r>
          </w:p>
        </w:tc>
        <w:tc>
          <w:tcPr>
            <w:tcW w:type="dxa" w:w="3400"/>
            <w:shd w:val="clear" w:color="auto" w:fill="FBF8F1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8"/>
              </w:rPr>
              <w:t>n8n + client's own Gmail/Outlook API</w:t>
            </w:r>
          </w:p>
        </w:tc>
        <w:tc>
          <w:tcPr>
            <w:tcW w:type="dxa" w:w="3400"/>
            <w:shd w:val="clear" w:color="auto" w:fill="FBF8F1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8"/>
              </w:rPr>
              <w:t>$0</w:t>
            </w:r>
          </w:p>
        </w:tc>
      </w:tr>
      <w:tr>
        <w:tc>
          <w:tcPr>
            <w:tcW w:type="dxa" w:w="3400"/>
            <w:shd w:val="clear" w:color="auto" w:fill="E7EEE5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/>
                <w:i w:val="0"/>
                <w:color w:val="6E9179"/>
                <w:sz w:val="18"/>
              </w:rPr>
              <w:t>Total</w:t>
            </w:r>
          </w:p>
        </w:tc>
        <w:tc>
          <w:tcPr>
            <w:tcW w:type="dxa" w:w="3400"/>
            <w:shd w:val="clear" w:color="auto" w:fill="E7EEE5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/>
                <w:i w:val="0"/>
                <w:color w:val="6E9179"/>
                <w:sz w:val="18"/>
              </w:rPr>
            </w:r>
          </w:p>
        </w:tc>
        <w:tc>
          <w:tcPr>
            <w:tcW w:type="dxa" w:w="3400"/>
            <w:shd w:val="clear" w:color="auto" w:fill="E7EEE5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/>
                <w:i w:val="0"/>
                <w:color w:val="6E9179"/>
                <w:sz w:val="18"/>
              </w:rPr>
              <w:t>$218.49/mo (~$21.85/client/mo)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1EBDE"/>
            <w:tcBorders>
              <w:left w:val="single" w:sz="20" w:space="0" w:color="E3A24B"/>
              <w:top w:val="nil"/>
              <w:bottom w:val="nil"/>
              <w:right w:val="nil"/>
            </w:tcBorders>
          </w:tcPr>
          <w:p>
            <w:pPr>
              <w:spacing w:before="80" w:after="80"/>
            </w:pPr>
            <w:r/>
            <w:r>
              <w:rPr>
                <w:rFonts w:ascii="Hanken Grotesk" w:hAnsi="Hanken Grotesk" w:cs="Hanken Grotesk"/>
                <w:b/>
                <w:i w:val="0"/>
                <w:color w:val="24352E"/>
                <w:sz w:val="19"/>
              </w:rPr>
              <w:t xml:space="preserve">🚩 Voice is not included </w:t>
            </w:r>
            <w:r>
              <w:rPr>
                <w:rFonts w:ascii="Hanken Grotesk" w:hAnsi="Hanken Grotesk" w:cs="Hanken Grotesk"/>
                <w:b w:val="0"/>
                <w:i w:val="0"/>
                <w:color w:val="6B6459"/>
                <w:sz w:val="19"/>
              </w:rPr>
              <w:t>(per instruction). White Label bundles 3 Twilio numbers + 10 call lines at no extra cost if switched on later; beyond that, +$3/mo per extra number and +$5/mo per extra call line.</w:t>
            </w:r>
          </w:p>
        </w:tc>
      </w:tr>
    </w:tbl>
    <w:p>
      <w:pPr>
        <w:spacing w:after="60"/>
      </w:pPr>
    </w:p>
    <w:p>
      <w:pPr>
        <w:keepNext/>
        <w:spacing w:before="200" w:after="80"/>
        <w:pBdr>
          <w:bottom w:val="single" w:sz="6" w:space="3" w:color="DED6C5"/>
        </w:pBdr>
      </w:pPr>
      <w:r>
        <w:rPr>
          <w:rFonts w:ascii="Fraunces" w:hAnsi="Fraunces" w:cs="Fraunces"/>
          <w:b/>
          <w:i w:val="0"/>
          <w:color w:val="6E9179"/>
          <w:sz w:val="28"/>
        </w:rPr>
        <w:t>Free-Tier Reality Check (at 10 clients)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6E9179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/>
                <w:i w:val="0"/>
                <w:color w:val="FFFFFF"/>
                <w:sz w:val="17"/>
              </w:rPr>
              <w:t>Tool</w:t>
            </w:r>
          </w:p>
        </w:tc>
        <w:tc>
          <w:tcPr>
            <w:tcW w:type="dxa" w:w="2550"/>
            <w:shd w:val="clear" w:color="auto" w:fill="6E9179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/>
                <w:i w:val="0"/>
                <w:color w:val="FFFFFF"/>
                <w:sz w:val="17"/>
              </w:rPr>
              <w:t>Free tier holds?</w:t>
            </w:r>
          </w:p>
        </w:tc>
        <w:tc>
          <w:tcPr>
            <w:tcW w:type="dxa" w:w="2550"/>
            <w:shd w:val="clear" w:color="auto" w:fill="6E9179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/>
                <w:i w:val="0"/>
                <w:color w:val="FFFFFF"/>
                <w:sz w:val="17"/>
              </w:rPr>
              <w:t>Approx. real ceiling</w:t>
            </w:r>
          </w:p>
        </w:tc>
        <w:tc>
          <w:tcPr>
            <w:tcW w:type="dxa" w:w="2550"/>
            <w:shd w:val="clear" w:color="auto" w:fill="6E9179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/>
                <w:i w:val="0"/>
                <w:color w:val="FFFFFF"/>
                <w:sz w:val="17"/>
              </w:rPr>
              <w:t>Next tier if exceeded</w:t>
            </w:r>
          </w:p>
        </w:tc>
      </w:tr>
      <w:tr>
        <w:tc>
          <w:tcPr>
            <w:tcW w:type="dxa" w:w="2550"/>
            <w:shd w:val="clear" w:color="auto" w:fill="FBF8F1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7"/>
              </w:rPr>
              <w:t>Supabase</w:t>
            </w:r>
          </w:p>
        </w:tc>
        <w:tc>
          <w:tcPr>
            <w:tcW w:type="dxa" w:w="2550"/>
            <w:shd w:val="clear" w:color="auto" w:fill="FBF8F1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7"/>
              </w:rPr>
              <w:t>Yes — 500MB DB / 5GB bandwidth is comfortable at this scale</w:t>
            </w:r>
          </w:p>
        </w:tc>
        <w:tc>
          <w:tcPr>
            <w:tcW w:type="dxa" w:w="2550"/>
            <w:shd w:val="clear" w:color="auto" w:fill="FBF8F1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7"/>
              </w:rPr>
              <w:t>~40–60 clients (depends on conversation volume)</w:t>
            </w:r>
          </w:p>
        </w:tc>
        <w:tc>
          <w:tcPr>
            <w:tcW w:type="dxa" w:w="2550"/>
            <w:shd w:val="clear" w:color="auto" w:fill="FBF8F1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7"/>
              </w:rPr>
              <w:t>Pro — $25/mo (8GB DB, 250GB bandwidth)</w:t>
            </w:r>
          </w:p>
        </w:tc>
      </w:tr>
      <w:tr>
        <w:tc>
          <w:tcPr>
            <w:tcW w:type="dxa" w:w="2550"/>
            <w:shd w:val="clear" w:color="auto" w:fill="F1EBDE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7"/>
              </w:rPr>
              <w:t>Pinecone</w:t>
            </w:r>
          </w:p>
        </w:tc>
        <w:tc>
          <w:tcPr>
            <w:tcW w:type="dxa" w:w="2550"/>
            <w:shd w:val="clear" w:color="auto" w:fill="F1EBDE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7"/>
              </w:rPr>
              <w:t>Yes — 2GB storage / 2M writes/mo covers 10 clients' KB embeddings</w:t>
            </w:r>
          </w:p>
        </w:tc>
        <w:tc>
          <w:tcPr>
            <w:tcW w:type="dxa" w:w="2550"/>
            <w:shd w:val="clear" w:color="auto" w:fill="F1EBDE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7"/>
              </w:rPr>
              <w:t>~30–50 clients (depends on KB size/client)</w:t>
            </w:r>
          </w:p>
        </w:tc>
        <w:tc>
          <w:tcPr>
            <w:tcW w:type="dxa" w:w="2550"/>
            <w:shd w:val="clear" w:color="auto" w:fill="F1EBDE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7"/>
              </w:rPr>
              <w:t>Standard/Builder — ~$20/mo starter</w:t>
            </w:r>
          </w:p>
        </w:tc>
      </w:tr>
      <w:tr>
        <w:tc>
          <w:tcPr>
            <w:tcW w:type="dxa" w:w="2550"/>
            <w:shd w:val="clear" w:color="auto" w:fill="FBF8F1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7"/>
              </w:rPr>
              <w:t>Notion</w:t>
            </w:r>
          </w:p>
        </w:tc>
        <w:tc>
          <w:tcPr>
            <w:tcW w:type="dxa" w:w="2550"/>
            <w:shd w:val="clear" w:color="auto" w:fill="FBF8F1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7"/>
              </w:rPr>
              <w:t>Yes — not client-count driven; internal use only</w:t>
            </w:r>
          </w:p>
        </w:tc>
        <w:tc>
          <w:tcPr>
            <w:tcW w:type="dxa" w:w="2550"/>
            <w:shd w:val="clear" w:color="auto" w:fill="FBF8F1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7"/>
              </w:rPr>
              <w:t>N/A (driven by team size, not clients)</w:t>
            </w:r>
          </w:p>
        </w:tc>
        <w:tc>
          <w:tcPr>
            <w:tcW w:type="dxa" w:w="2550"/>
            <w:shd w:val="clear" w:color="auto" w:fill="FBF8F1"/>
            <w:tcBorders>
              <w:top w:val="single" w:sz="4" w:space="0" w:color="DED6C5"/>
              <w:left w:val="single" w:sz="4" w:space="0" w:color="DED6C5"/>
              <w:bottom w:val="single" w:sz="4" w:space="0" w:color="DED6C5"/>
              <w:right w:val="single" w:sz="4" w:space="0" w:color="DED6C5"/>
            </w:tcBorders>
          </w:tcPr>
          <w:p>
            <w:r/>
            <w:r>
              <w:rPr>
                <w:rFonts w:ascii="Hanken Grotesk" w:hAnsi="Hanken Grotesk" w:cs="Hanken Grotesk"/>
                <w:b w:val="0"/>
                <w:i w:val="0"/>
                <w:color w:val="24352E"/>
                <w:sz w:val="17"/>
              </w:rPr>
              <w:t>Plus — $10/user/mo if team grows</w:t>
            </w:r>
          </w:p>
        </w:tc>
      </w:tr>
    </w:tbl>
    <w:p>
      <w:pPr>
        <w:spacing w:after="80"/>
      </w:pPr>
    </w:p>
    <w:p>
      <w:pPr>
        <w:spacing w:before="40" w:after="120"/>
      </w:pPr>
      <w:r>
        <w:rPr>
          <w:rFonts w:ascii="Hanken Grotesk" w:hAnsi="Hanken Grotesk" w:cs="Hanken Grotesk"/>
          <w:b w:val="0"/>
          <w:i/>
          <w:color w:val="6B6459"/>
          <w:sz w:val="17"/>
        </w:rPr>
        <w:t>Estimates above are sizing approximations, not load-tested against real traffic — re-check once real usage data exists.</w:t>
      </w:r>
    </w:p>
    <w:p>
      <w:pPr>
        <w:keepNext/>
        <w:spacing w:before="200" w:after="80"/>
        <w:pBdr>
          <w:bottom w:val="single" w:sz="6" w:space="3" w:color="DED6C5"/>
        </w:pBdr>
      </w:pPr>
      <w:r>
        <w:rPr>
          <w:rFonts w:ascii="Fraunces" w:hAnsi="Fraunces" w:cs="Fraunces"/>
          <w:b/>
          <w:i w:val="0"/>
          <w:color w:val="6E9179"/>
          <w:sz w:val="28"/>
        </w:rPr>
        <w:t>Bottom Line</w:t>
      </w:r>
    </w:p>
    <w:p>
      <w:pPr>
        <w:spacing w:before="40" w:after="80"/>
      </w:pPr>
      <w:r>
        <w:rPr>
          <w:rFonts w:ascii="Hanken Grotesk" w:hAnsi="Hanken Grotesk" w:cs="Hanken Grotesk"/>
          <w:b w:val="0"/>
          <w:i w:val="0"/>
          <w:color w:val="24352E"/>
          <w:sz w:val="21"/>
        </w:rPr>
        <w:t xml:space="preserve">10 clients cost </w:t>
      </w:r>
      <w:r>
        <w:rPr>
          <w:rFonts w:ascii="Hanken Grotesk" w:hAnsi="Hanken Grotesk" w:cs="Hanken Grotesk"/>
          <w:b/>
          <w:i w:val="0"/>
          <w:color w:val="6E9179"/>
          <w:sz w:val="21"/>
        </w:rPr>
        <w:t>$218.49/mo total</w:t>
      </w:r>
      <w:r>
        <w:rPr>
          <w:rFonts w:ascii="Hanken Grotesk" w:hAnsi="Hanken Grotesk" w:cs="Hanken Grotesk"/>
          <w:b w:val="0"/>
          <w:i w:val="0"/>
          <w:color w:val="24352E"/>
          <w:sz w:val="21"/>
        </w:rPr>
        <w:t>, all on free tiers except Convocore White Label ($199) and the VPS ($19.49). No other paid tools required to hit 10 recurring clients.</w:t>
      </w:r>
    </w:p>
    <w:p>
      <w:pPr>
        <w:spacing w:before="200"/>
        <w:pBdr>
          <w:top w:val="single" w:sz="4" w:space="4" w:color="DED6C5"/>
        </w:pBdr>
      </w:pPr>
      <w:r>
        <w:rPr>
          <w:rFonts w:ascii="Space Mono" w:hAnsi="Space Mono" w:cs="Space Mono"/>
          <w:b w:val="0"/>
          <w:i w:val="0"/>
          <w:color w:val="6B6459"/>
          <w:sz w:val="15"/>
        </w:rPr>
        <w:t>Zenny by ZeroManual  ·  Internal — not for external distribution</w:t>
      </w:r>
    </w:p>
    <w:sectPr w:rsidR="00FC693F" w:rsidRPr="0006063C" w:rsidSect="00034616">
      <w:pgSz w:w="12240" w:h="15840"/>
      <w:pgMar w:top="794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anken Grotesk" w:hAnsi="Hanken Grotesk"/>
      <w:color w:val="2435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