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left"/>
      </w:pPr>
      <w:r>
        <w:rPr>
          <w:rFonts w:ascii="Fraunces" w:hAnsi="Fraunces" w:cs="Fraunces"/>
          <w:b/>
          <w:i w:val="0"/>
          <w:color w:val="6E9179"/>
          <w:sz w:val="56"/>
        </w:rPr>
        <w:t>Zenny</w:t>
      </w:r>
      <w:r>
        <w:rPr>
          <w:rFonts w:ascii="Fraunces" w:hAnsi="Fraunces" w:cs="Fraunces"/>
          <w:b/>
          <w:i w:val="0"/>
          <w:color w:val="E3A24B"/>
          <w:sz w:val="56"/>
        </w:rPr>
        <w:t>.</w:t>
      </w:r>
    </w:p>
    <w:p>
      <w:pPr>
        <w:spacing w:before="0" w:after="40"/>
      </w:pPr>
      <w:r>
        <w:rPr>
          <w:rFonts w:ascii="Hanken Grotesk" w:hAnsi="Hanken Grotesk" w:cs="Hanken Grotesk"/>
          <w:b w:val="0"/>
          <w:i/>
          <w:color w:val="6B6459"/>
          <w:sz w:val="20"/>
        </w:rPr>
        <w:t>The calm AI agent that answers your customers everywhere</w:t>
      </w:r>
    </w:p>
    <w:p>
      <w:pPr>
        <w:spacing w:before="200" w:after="40"/>
      </w:pPr>
      <w:r>
        <w:rPr>
          <w:rFonts w:ascii="Fraunces" w:hAnsi="Fraunces" w:cs="Fraunces"/>
          <w:b/>
          <w:i w:val="0"/>
          <w:color w:val="24352E"/>
          <w:sz w:val="40"/>
        </w:rPr>
        <w:t>Technical Budget Proposal</w:t>
      </w:r>
    </w:p>
    <w:p>
      <w:pPr>
        <w:spacing w:before="0" w:after="80"/>
      </w:pPr>
      <w:r>
        <w:rPr>
          <w:rFonts w:ascii="Space Mono" w:hAnsi="Space Mono" w:cs="Space Mono"/>
          <w:b w:val="0"/>
          <w:i w:val="0"/>
          <w:color w:val="6B6459"/>
          <w:sz w:val="18"/>
        </w:rPr>
        <w:t>v1  ·  Internal  ·  2026-08-25</w:t>
      </w:r>
    </w:p>
    <w:p>
      <w:pPr>
        <w:pBdr>
          <w:bottom w:val="single" w:sz="10" w:space="1" w:color="6E9179"/>
        </w:pBdr>
        <w:spacing w:after="320"/>
      </w:pPr>
    </w:p>
    <w:p>
      <w:pPr>
        <w:spacing w:before="80" w:after="200"/>
      </w:pPr>
      <w:r>
        <w:rPr>
          <w:rFonts w:ascii="Hanken Grotesk" w:hAnsi="Hanken Grotesk" w:cs="Hanken Grotesk"/>
          <w:b/>
          <w:i w:val="0"/>
          <w:color w:val="6E9179"/>
          <w:sz w:val="22"/>
        </w:rPr>
        <w:t xml:space="preserve">Purpose: </w:t>
      </w:r>
      <w:r>
        <w:rPr>
          <w:rFonts w:ascii="Hanken Grotesk" w:hAnsi="Hanken Grotesk" w:cs="Hanken Grotesk"/>
          <w:b w:val="0"/>
          <w:i w:val="0"/>
          <w:color w:val="24352E"/>
          <w:sz w:val="22"/>
        </w:rPr>
        <w:t>what the technical stack costs to run build, test, and production frictionlessly. Two phases: 0 clients, and 0+ clients (any number of paying clients).</w:t>
      </w:r>
    </w:p>
    <w:p>
      <w:pPr>
        <w:spacing w:before="80" w:after="40"/>
      </w:pPr>
      <w:r>
        <w:rPr>
          <w:rFonts w:ascii="Hanken Grotesk" w:hAnsi="Hanken Grotesk" w:cs="Hanken Grotesk"/>
          <w:b/>
          <w:i w:val="0"/>
          <w:color w:val="24352E"/>
          <w:sz w:val="21"/>
        </w:rPr>
        <w:t>Pricing references (for the team's own review):</w:t>
      </w:r>
    </w:p>
    <w:p>
      <w:pPr>
        <w:pStyle w:val="ListBullet"/>
        <w:spacing w:after="80"/>
      </w:pPr>
      <w:r>
        <w:rPr>
          <w:rFonts w:ascii="Hanken Grotesk" w:hAnsi="Hanken Grotesk" w:cs="Hanken Grotesk"/>
          <w:b w:val="0"/>
          <w:i w:val="0"/>
          <w:color w:val="24352E"/>
          <w:sz w:val="21"/>
        </w:rPr>
        <w:t>Public pricing page: convocore.ai/pricing</w:t>
      </w:r>
    </w:p>
    <w:p>
      <w:pPr>
        <w:pStyle w:val="ListBullet"/>
        <w:spacing w:after="80"/>
      </w:pPr>
      <w:r>
        <w:rPr>
          <w:rFonts w:ascii="Hanken Grotesk" w:hAnsi="Hanken Grotesk" w:cs="Hanken Grotesk"/>
          <w:b w:val="0"/>
          <w:i w:val="0"/>
          <w:color w:val="24352E"/>
          <w:sz w:val="21"/>
        </w:rPr>
        <w:t>Convocore's in-app Billing → Plans screen (our own workspace's real entitlements)</w:t>
      </w:r>
    </w:p>
    <w:tbl>
      <w:tblPr>
        <w:tblW w:type="auto" w:w="0"/>
        <w:jc w:val="center"/>
        <w:tblLook w:firstColumn="1" w:firstRow="1" w:lastColumn="0" w:lastRow="0" w:noHBand="0" w:noVBand="1" w:val="04A0"/>
      </w:tblPr>
      <w:tblGrid>
        <w:gridCol w:w="9746"/>
      </w:tblGrid>
      <w:tr>
        <w:tc>
          <w:tcPr>
            <w:tcW w:type="dxa" w:w="9746"/>
            <w:shd w:val="clear" w:color="auto" w:fill="F1EBDE"/>
            <w:tcBorders>
              <w:left w:val="single" w:sz="24" w:space="0" w:color="E3A24B"/>
              <w:top w:val="nil"/>
              <w:bottom w:val="nil"/>
              <w:right w:val="nil"/>
            </w:tcBorders>
          </w:tcPr>
          <w:p>
            <w:pPr>
              <w:spacing w:before="120" w:after="120"/>
            </w:pPr>
            <w:r/>
            <w:r>
              <w:rPr>
                <w:rFonts w:ascii="Hanken Grotesk" w:hAnsi="Hanken Grotesk" w:cs="Hanken Grotesk"/>
                <w:b/>
                <w:i w:val="0"/>
                <w:color w:val="24352E"/>
                <w:sz w:val="22"/>
              </w:rPr>
              <w:t xml:space="preserve">★ Before finalizing any plan choice below: book a call with Moe Ayman, Convocore's founder. </w:t>
            </w:r>
            <w:r>
              <w:rPr>
                <w:rFonts w:ascii="Hanken Grotesk" w:hAnsi="Hanken Grotesk" w:cs="Hanken Grotesk"/>
                <w:b w:val="0"/>
                <w:i w:val="0"/>
                <w:color w:val="6B6459"/>
                <w:sz w:val="22"/>
              </w:rPr>
              <w:t>Convocore's own support AI directly offered this when asked about our multi-client scaling needs — worth taking them up on it, especially since White Label is now a real $199+/mo commitment from client 1, not a someday upgrade.</w:t>
            </w:r>
          </w:p>
        </w:tc>
      </w:tr>
    </w:tbl>
    <w:p>
      <w:pPr>
        <w:spacing w:after="80"/>
      </w:pPr>
    </w:p>
    <w:p>
      <w:pPr>
        <w:keepNext/>
        <w:spacing w:before="400" w:after="160"/>
        <w:pBdr>
          <w:bottom w:val="single" w:sz="6" w:space="4" w:color="DED6C5"/>
        </w:pBdr>
      </w:pPr>
      <w:r>
        <w:rPr>
          <w:rFonts w:ascii="Fraunces" w:hAnsi="Fraunces" w:cs="Fraunces"/>
          <w:b/>
          <w:i w:val="0"/>
          <w:color w:val="6E9179"/>
          <w:sz w:val="36"/>
        </w:rPr>
        <w:t>1. The two phases</w:t>
      </w:r>
    </w:p>
    <w:tbl>
      <w:tblPr>
        <w:tblW w:type="auto" w:w="0"/>
        <w:jc w:val="center"/>
        <w:tblLayout w:type="autofit"/>
        <w:tblLook w:firstColumn="1" w:firstRow="1" w:lastColumn="0" w:lastRow="0" w:noHBand="0" w:noVBand="1" w:val="04A0"/>
      </w:tblPr>
      <w:tblGrid>
        <w:gridCol w:w="4873"/>
        <w:gridCol w:w="4873"/>
      </w:tblGrid>
      <w:tr>
        <w:tc>
          <w:tcPr>
            <w:tcW w:type="dxa" w:w="4873"/>
            <w:shd w:val="clear" w:color="auto" w:fill="6E9179"/>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i w:val="0"/>
                <w:color w:val="FFFFFF"/>
                <w:sz w:val="20"/>
              </w:rPr>
              <w:t>Phase</w:t>
            </w:r>
          </w:p>
        </w:tc>
        <w:tc>
          <w:tcPr>
            <w:tcW w:type="dxa" w:w="4873"/>
            <w:shd w:val="clear" w:color="auto" w:fill="6E9179"/>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i w:val="0"/>
                <w:color w:val="FFFFFF"/>
                <w:sz w:val="20"/>
              </w:rPr>
              <w:t>What's running</w:t>
            </w:r>
          </w:p>
        </w:tc>
      </w:tr>
      <w:tr>
        <w:tc>
          <w:tcPr>
            <w:tcW w:type="dxa" w:w="4873"/>
            <w:shd w:val="clear" w:color="auto" w:fill="FBF8F1"/>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0 clients (build/test)</w:t>
            </w:r>
          </w:p>
        </w:tc>
        <w:tc>
          <w:tcPr>
            <w:tcW w:type="dxa" w:w="4873"/>
            <w:shd w:val="clear" w:color="auto" w:fill="FBF8F1"/>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Claude Pro, Hostinger VPS, Convocore (tier — open decision below), Supabase/Notion/Pinecone free</w:t>
            </w:r>
          </w:p>
        </w:tc>
      </w:tr>
      <w:tr>
        <w:tc>
          <w:tcPr>
            <w:tcW w:type="dxa" w:w="4873"/>
            <w:shd w:val="clear" w:color="auto" w:fill="F1EBDE"/>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0+ clients (production)</w:t>
            </w:r>
          </w:p>
        </w:tc>
        <w:tc>
          <w:tcPr>
            <w:tcW w:type="dxa" w:w="4873"/>
            <w:shd w:val="clear" w:color="auto" w:fill="F1EBDE"/>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Same base + Convocore White Label, required from the first paying client (see Section 3 — the single biggest change from earlier drafts)</w:t>
            </w:r>
          </w:p>
        </w:tc>
      </w:tr>
    </w:tbl>
    <w:p>
      <w:pPr>
        <w:spacing w:after="120"/>
      </w:pPr>
    </w:p>
    <w:p>
      <w:pPr>
        <w:keepNext/>
        <w:spacing w:before="400" w:after="160"/>
        <w:pBdr>
          <w:bottom w:val="single" w:sz="6" w:space="4" w:color="DED6C5"/>
        </w:pBdr>
      </w:pPr>
      <w:r>
        <w:rPr>
          <w:rFonts w:ascii="Fraunces" w:hAnsi="Fraunces" w:cs="Fraunces"/>
          <w:b/>
          <w:i w:val="0"/>
          <w:color w:val="6E9179"/>
          <w:sz w:val="36"/>
        </w:rPr>
        <w:t>2. Phase 1 — 0 clients (build/test)</w:t>
      </w:r>
    </w:p>
    <w:tbl>
      <w:tblPr>
        <w:tblW w:type="auto" w:w="0"/>
        <w:jc w:val="center"/>
        <w:tblLayout w:type="autofit"/>
        <w:tblLook w:firstColumn="1" w:firstRow="1" w:lastColumn="0" w:lastRow="0" w:noHBand="0" w:noVBand="1" w:val="04A0"/>
      </w:tblPr>
      <w:tblGrid>
        <w:gridCol w:w="3249"/>
        <w:gridCol w:w="3249"/>
        <w:gridCol w:w="3249"/>
      </w:tblGrid>
      <w:tr>
        <w:tc>
          <w:tcPr>
            <w:tcW w:type="dxa" w:w="3249"/>
            <w:shd w:val="clear" w:color="auto" w:fill="6E9179"/>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i w:val="0"/>
                <w:color w:val="FFFFFF"/>
                <w:sz w:val="20"/>
              </w:rPr>
              <w:t>Item</w:t>
            </w:r>
          </w:p>
        </w:tc>
        <w:tc>
          <w:tcPr>
            <w:tcW w:type="dxa" w:w="3249"/>
            <w:shd w:val="clear" w:color="auto" w:fill="6E9179"/>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i w:val="0"/>
                <w:color w:val="FFFFFF"/>
                <w:sz w:val="20"/>
              </w:rPr>
              <w:t>Cost/mo</w:t>
            </w:r>
          </w:p>
        </w:tc>
        <w:tc>
          <w:tcPr>
            <w:tcW w:type="dxa" w:w="3249"/>
            <w:shd w:val="clear" w:color="auto" w:fill="6E9179"/>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i w:val="0"/>
                <w:color w:val="FFFFFF"/>
                <w:sz w:val="20"/>
              </w:rPr>
              <w:t>Notes</w:t>
            </w:r>
          </w:p>
        </w:tc>
      </w:tr>
      <w:tr>
        <w:tc>
          <w:tcPr>
            <w:tcW w:type="dxa" w:w="3249"/>
            <w:shd w:val="clear" w:color="auto" w:fill="FBF8F1"/>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Claude Pro</w:t>
            </w:r>
          </w:p>
        </w:tc>
        <w:tc>
          <w:tcPr>
            <w:tcW w:type="dxa" w:w="3249"/>
            <w:shd w:val="clear" w:color="auto" w:fill="FBF8F1"/>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$20</w:t>
            </w:r>
          </w:p>
        </w:tc>
        <w:tc>
          <w:tcPr>
            <w:tcW w:type="dxa" w:w="3249"/>
            <w:shd w:val="clear" w:color="auto" w:fill="FBF8F1"/>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r>
          </w:p>
        </w:tc>
      </w:tr>
      <w:tr>
        <w:tc>
          <w:tcPr>
            <w:tcW w:type="dxa" w:w="3249"/>
            <w:shd w:val="clear" w:color="auto" w:fill="F1EBDE"/>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Hostinger VPS</w:t>
            </w:r>
          </w:p>
        </w:tc>
        <w:tc>
          <w:tcPr>
            <w:tcW w:type="dxa" w:w="3249"/>
            <w:shd w:val="clear" w:color="auto" w:fill="F1EBDE"/>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$19.49</w:t>
            </w:r>
          </w:p>
        </w:tc>
        <w:tc>
          <w:tcPr>
            <w:tcW w:type="dxa" w:w="3249"/>
            <w:shd w:val="clear" w:color="auto" w:fill="F1EBDE"/>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srv1881104</w:t>
            </w:r>
          </w:p>
        </w:tc>
      </w:tr>
      <w:tr>
        <w:tc>
          <w:tcPr>
            <w:tcW w:type="dxa" w:w="3249"/>
            <w:shd w:val="clear" w:color="auto" w:fill="FBF8F1"/>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Convocore</w:t>
            </w:r>
          </w:p>
        </w:tc>
        <w:tc>
          <w:tcPr>
            <w:tcW w:type="dxa" w:w="3249"/>
            <w:shd w:val="clear" w:color="auto" w:fill="FBF8F1"/>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$0 or $59</w:t>
            </w:r>
          </w:p>
        </w:tc>
        <w:tc>
          <w:tcPr>
            <w:tcW w:type="dxa" w:w="3249"/>
            <w:shd w:val="clear" w:color="auto" w:fill="FBF8F1"/>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Open decision — see below</w:t>
            </w:r>
          </w:p>
        </w:tc>
      </w:tr>
      <w:tr>
        <w:tc>
          <w:tcPr>
            <w:tcW w:type="dxa" w:w="3249"/>
            <w:shd w:val="clear" w:color="auto" w:fill="F1EBDE"/>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Supabase / Notion / Pinecone</w:t>
            </w:r>
          </w:p>
        </w:tc>
        <w:tc>
          <w:tcPr>
            <w:tcW w:type="dxa" w:w="3249"/>
            <w:shd w:val="clear" w:color="auto" w:fill="F1EBDE"/>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$0</w:t>
            </w:r>
          </w:p>
        </w:tc>
        <w:tc>
          <w:tcPr>
            <w:tcW w:type="dxa" w:w="3249"/>
            <w:shd w:val="clear" w:color="auto" w:fill="F1EBDE"/>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Free tier — see Section 5</w:t>
            </w:r>
          </w:p>
        </w:tc>
      </w:tr>
      <w:tr>
        <w:tc>
          <w:tcPr>
            <w:tcW w:type="dxa" w:w="3249"/>
            <w:shd w:val="clear" w:color="auto" w:fill="E7EEE5"/>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i w:val="0"/>
                <w:color w:val="6E9179"/>
                <w:sz w:val="20"/>
              </w:rPr>
              <w:t>Total</w:t>
            </w:r>
          </w:p>
        </w:tc>
        <w:tc>
          <w:tcPr>
            <w:tcW w:type="dxa" w:w="3249"/>
            <w:shd w:val="clear" w:color="auto" w:fill="E7EEE5"/>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i w:val="0"/>
                <w:color w:val="6E9179"/>
                <w:sz w:val="20"/>
              </w:rPr>
              <w:t>$39.49–$98.49/mo</w:t>
            </w:r>
          </w:p>
        </w:tc>
        <w:tc>
          <w:tcPr>
            <w:tcW w:type="dxa" w:w="3249"/>
            <w:shd w:val="clear" w:color="auto" w:fill="E7EEE5"/>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i w:val="0"/>
                <w:color w:val="6E9179"/>
                <w:sz w:val="20"/>
              </w:rPr>
            </w:r>
          </w:p>
        </w:tc>
      </w:tr>
    </w:tbl>
    <w:p>
      <w:pPr>
        <w:spacing w:after="120"/>
      </w:pPr>
    </w:p>
    <w:p>
      <w:pPr>
        <w:keepNext/>
        <w:spacing w:before="240" w:after="120"/>
      </w:pPr>
      <w:r>
        <w:rPr>
          <w:rFonts w:ascii="Fraunces" w:hAnsi="Fraunces" w:cs="Fraunces"/>
          <w:b/>
          <w:i w:val="0"/>
          <w:color w:val="24352E"/>
          <w:sz w:val="26"/>
        </w:rPr>
        <w:t>Open decision — which Convocore tier for build/test</w:t>
      </w:r>
    </w:p>
    <w:tbl>
      <w:tblPr>
        <w:tblW w:type="auto" w:w="0"/>
        <w:jc w:val="center"/>
        <w:tblLayout w:type="autofit"/>
        <w:tblLook w:firstColumn="1" w:firstRow="1" w:lastColumn="0" w:lastRow="0" w:noHBand="0" w:noVBand="1" w:val="04A0"/>
      </w:tblPr>
      <w:tblGrid>
        <w:gridCol w:w="3249"/>
        <w:gridCol w:w="3249"/>
        <w:gridCol w:w="3249"/>
      </w:tblGrid>
      <w:tr>
        <w:tc>
          <w:tcPr>
            <w:tcW w:type="dxa" w:w="3249"/>
            <w:shd w:val="clear" w:color="auto" w:fill="6E9179"/>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i w:val="0"/>
                <w:color w:val="FFFFFF"/>
                <w:sz w:val="20"/>
              </w:rPr>
            </w:r>
          </w:p>
        </w:tc>
        <w:tc>
          <w:tcPr>
            <w:tcW w:type="dxa" w:w="3249"/>
            <w:shd w:val="clear" w:color="auto" w:fill="6E9179"/>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i w:val="0"/>
                <w:color w:val="FFFFFF"/>
                <w:sz w:val="20"/>
              </w:rPr>
              <w:t>Free</w:t>
            </w:r>
          </w:p>
        </w:tc>
        <w:tc>
          <w:tcPr>
            <w:tcW w:type="dxa" w:w="3249"/>
            <w:shd w:val="clear" w:color="auto" w:fill="6E9179"/>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i w:val="0"/>
                <w:color w:val="FFFFFF"/>
                <w:sz w:val="20"/>
              </w:rPr>
              <w:t>Pro ($59/mo)</w:t>
            </w:r>
          </w:p>
        </w:tc>
      </w:tr>
      <w:tr>
        <w:tc>
          <w:tcPr>
            <w:tcW w:type="dxa" w:w="3249"/>
            <w:shd w:val="clear" w:color="auto" w:fill="FBF8F1"/>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Pros</w:t>
            </w:r>
          </w:p>
        </w:tc>
        <w:tc>
          <w:tcPr>
            <w:tcW w:type="dxa" w:w="3249"/>
            <w:shd w:val="clear" w:color="auto" w:fill="FBF8F1"/>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$0 cost pre-revenue</w:t>
            </w:r>
          </w:p>
        </w:tc>
        <w:tc>
          <w:tcPr>
            <w:tcW w:type="dxa" w:w="3249"/>
            <w:shd w:val="clear" w:color="auto" w:fill="FBF8F1"/>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Tests run on GPT-5.6 Luna, the model we actually ship — trustworthy results, real per-conversation cost data</w:t>
            </w:r>
          </w:p>
        </w:tc>
      </w:tr>
      <w:tr>
        <w:tc>
          <w:tcPr>
            <w:tcW w:type="dxa" w:w="3249"/>
            <w:shd w:val="clear" w:color="auto" w:fill="F1EBDE"/>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Cons</w:t>
            </w:r>
          </w:p>
        </w:tc>
        <w:tc>
          <w:tcPr>
            <w:tcW w:type="dxa" w:w="3249"/>
            <w:shd w:val="clear" w:color="auto" w:fill="F1EBDE"/>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Free tier can't run Luna at all — findings may not transfer to production. Also a hard 500-credit cap that's one-time, not monthly — a real build/test sprint can burn through it mid-way and stop testing dead until it's gone.</w:t>
            </w:r>
          </w:p>
        </w:tc>
        <w:tc>
          <w:tcPr>
            <w:tcW w:type="dxa" w:w="3249"/>
            <w:shd w:val="clear" w:color="auto" w:fill="F1EBDE"/>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$59/mo burn with no revenue</w:t>
            </w:r>
          </w:p>
        </w:tc>
      </w:tr>
    </w:tbl>
    <w:p>
      <w:pPr>
        <w:spacing w:after="120"/>
      </w:pPr>
    </w:p>
    <w:p>
      <w:pPr>
        <w:spacing w:before="80" w:after="160"/>
      </w:pPr>
      <w:r>
        <w:rPr>
          <w:rFonts w:ascii="Hanken Grotesk" w:hAnsi="Hanken Grotesk" w:cs="Hanken Grotesk"/>
          <w:b/>
          <w:i w:val="0"/>
          <w:color w:val="6E9179"/>
          <w:sz w:val="21"/>
        </w:rPr>
        <w:t xml:space="preserve">Our recommendation: </w:t>
      </w:r>
      <w:r>
        <w:rPr>
          <w:rFonts w:ascii="Hanken Grotesk" w:hAnsi="Hanken Grotesk" w:cs="Hanken Grotesk"/>
          <w:b w:val="0"/>
          <w:i w:val="0"/>
          <w:color w:val="24352E"/>
          <w:sz w:val="21"/>
        </w:rPr>
        <w:t>Pro, but only during active build sprints; step down to Free between them. This build-phase question is unaffected by the White Label finding below — testing one agent under one workspace doesn't need multi-client management yet.</w:t>
      </w:r>
    </w:p>
    <w:p>
      <w:pPr>
        <w:keepNext/>
        <w:spacing w:before="400" w:after="160"/>
        <w:pBdr>
          <w:bottom w:val="single" w:sz="6" w:space="4" w:color="DED6C5"/>
        </w:pBdr>
      </w:pPr>
      <w:r>
        <w:rPr>
          <w:rFonts w:ascii="Fraunces" w:hAnsi="Fraunces" w:cs="Fraunces"/>
          <w:b/>
          <w:i w:val="0"/>
          <w:color w:val="6E9179"/>
          <w:sz w:val="36"/>
        </w:rPr>
        <w:t>3. Phase 2 — 0+ clients (production)</w:t>
      </w:r>
    </w:p>
    <w:p>
      <w:pPr>
        <w:keepNext/>
        <w:spacing w:before="240" w:after="120"/>
      </w:pPr>
      <w:r>
        <w:rPr>
          <w:rFonts w:ascii="Fraunces" w:hAnsi="Fraunces" w:cs="Fraunces"/>
          <w:b/>
          <w:i w:val="0"/>
          <w:color w:val="24352E"/>
          <w:sz w:val="26"/>
        </w:rPr>
        <w:t>Resolved: White Label is required from the first paying client, not an eventual upgrade</w:t>
      </w:r>
    </w:p>
    <w:p>
      <w:pPr>
        <w:spacing w:before="80" w:after="160"/>
      </w:pPr>
      <w:r>
        <w:rPr>
          <w:rFonts w:ascii="Hanken Grotesk" w:hAnsi="Hanken Grotesk" w:cs="Hanken Grotesk"/>
          <w:b w:val="0"/>
          <w:i w:val="0"/>
          <w:color w:val="24352E"/>
          <w:sz w:val="21"/>
        </w:rPr>
        <w:t>Directly confirmed by Convocore's own support AI (asked specifically about the $15/mo Client Seat add-on):</w:t>
      </w:r>
    </w:p>
    <w:p>
      <w:pPr>
        <w:spacing w:before="80" w:after="200"/>
        <w:ind w:left="454"/>
        <w:pBdr>
          <w:left w:val="single" w:sz="18" w:space="8" w:color="6E9179"/>
        </w:pBdr>
      </w:pPr>
      <w:r>
        <w:rPr>
          <w:rFonts w:ascii="Hanken Grotesk" w:hAnsi="Hanken Grotesk" w:cs="Hanken Grotesk"/>
          <w:b w:val="0"/>
          <w:i/>
          <w:color w:val="6B6459"/>
          <w:sz w:val="21"/>
        </w:rPr>
        <w:t>“While we don't have a standard '$15/mo client seat add-on' for the Pro plan in our current self-serve pricing... Our native multi-client management system — which allows you to create separate organizations for each client, manage their individual billing, and control their access from a single dashboard — is a feature exclusive to our White Label and White Label Elite plans. On the Pro plan, the account is designed for a single organization. If you need to manage multiple clients professionally under your own brand, the White Label plans are the intended path.”</w:t>
      </w:r>
    </w:p>
    <w:p>
      <w:pPr>
        <w:spacing w:before="80" w:after="160"/>
      </w:pPr>
      <w:r>
        <w:rPr>
          <w:rFonts w:ascii="Hanken Grotesk" w:hAnsi="Hanken Grotesk" w:cs="Hanken Grotesk"/>
          <w:b w:val="0"/>
          <w:i w:val="0"/>
          <w:color w:val="24352E"/>
          <w:sz w:val="21"/>
        </w:rPr>
        <w:t xml:space="preserve">This overturns the earlier draft's assumption (a $15/mo seat stacking on Pro or Business). </w:t>
      </w:r>
      <w:r>
        <w:rPr>
          <w:rFonts w:ascii="Hanken Grotesk" w:hAnsi="Hanken Grotesk" w:cs="Hanken Grotesk"/>
          <w:b/>
          <w:i w:val="0"/>
          <w:color w:val="24352E"/>
          <w:sz w:val="21"/>
        </w:rPr>
        <w:t>There is no per-client add-on path below White Label</w:t>
      </w:r>
      <w:r>
        <w:rPr>
          <w:rFonts w:ascii="Hanken Grotesk" w:hAnsi="Hanken Grotesk" w:cs="Hanken Grotesk"/>
          <w:b w:val="0"/>
          <w:i w:val="0"/>
          <w:color w:val="24352E"/>
          <w:sz w:val="21"/>
        </w:rPr>
        <w:t xml:space="preserve"> — managing more than one client business under one Convocore account requires White Label ($199/mo) or White Label Elite ($349/mo), starting with client #1, not at some later client-count threshold.</w:t>
      </w:r>
    </w:p>
    <w:p>
      <w:pPr>
        <w:keepNext/>
        <w:spacing w:before="240" w:after="120"/>
      </w:pPr>
      <w:r>
        <w:rPr>
          <w:rFonts w:ascii="Fraunces" w:hAnsi="Fraunces" w:cs="Fraunces"/>
          <w:b/>
          <w:i w:val="0"/>
          <w:color w:val="24352E"/>
          <w:sz w:val="26"/>
        </w:rPr>
        <w:t>Base plan for production</w:t>
      </w:r>
    </w:p>
    <w:tbl>
      <w:tblPr>
        <w:tblW w:type="auto" w:w="0"/>
        <w:jc w:val="center"/>
        <w:tblLayout w:type="autofit"/>
        <w:tblLook w:firstColumn="1" w:firstRow="1" w:lastColumn="0" w:lastRow="0" w:noHBand="0" w:noVBand="1" w:val="04A0"/>
      </w:tblPr>
      <w:tblGrid>
        <w:gridCol w:w="4873"/>
        <w:gridCol w:w="4873"/>
      </w:tblGrid>
      <w:tr>
        <w:tc>
          <w:tcPr>
            <w:tcW w:type="dxa" w:w="4873"/>
            <w:shd w:val="clear" w:color="auto" w:fill="6E9179"/>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i w:val="0"/>
                <w:color w:val="FFFFFF"/>
                <w:sz w:val="20"/>
              </w:rPr>
            </w:r>
          </w:p>
        </w:tc>
        <w:tc>
          <w:tcPr>
            <w:tcW w:type="dxa" w:w="4873"/>
            <w:shd w:val="clear" w:color="auto" w:fill="6E9179"/>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i w:val="0"/>
                <w:color w:val="FFFFFF"/>
                <w:sz w:val="20"/>
              </w:rPr>
              <w:t>White Label ($199/mo)</w:t>
            </w:r>
          </w:p>
        </w:tc>
      </w:tr>
      <w:tr>
        <w:tc>
          <w:tcPr>
            <w:tcW w:type="dxa" w:w="4873"/>
            <w:shd w:val="clear" w:color="auto" w:fill="FBF8F1"/>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Multi-client management</w:t>
            </w:r>
          </w:p>
        </w:tc>
        <w:tc>
          <w:tcPr>
            <w:tcW w:type="dxa" w:w="4873"/>
            <w:shd w:val="clear" w:color="auto" w:fill="FBF8F1"/>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 Separate org + billing per client, one dashboard</w:t>
            </w:r>
          </w:p>
        </w:tc>
      </w:tr>
      <w:tr>
        <w:tc>
          <w:tcPr>
            <w:tcW w:type="dxa" w:w="4873"/>
            <w:shd w:val="clear" w:color="auto" w:fill="F1EBDE"/>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Watermark</w:t>
            </w:r>
          </w:p>
        </w:tc>
        <w:tc>
          <w:tcPr>
            <w:tcW w:type="dxa" w:w="4873"/>
            <w:shd w:val="clear" w:color="auto" w:fill="F1EBDE"/>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 Removed</w:t>
            </w:r>
          </w:p>
        </w:tc>
      </w:tr>
      <w:tr>
        <w:tc>
          <w:tcPr>
            <w:tcW w:type="dxa" w:w="4873"/>
            <w:shd w:val="clear" w:color="auto" w:fill="FBF8F1"/>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Voice</w:t>
            </w:r>
          </w:p>
        </w:tc>
        <w:tc>
          <w:tcPr>
            <w:tcW w:type="dxa" w:w="4873"/>
            <w:shd w:val="clear" w:color="auto" w:fill="FBF8F1"/>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 Included (3 Twilio numbers + 10 concurrent call lines bundled)</w:t>
            </w:r>
          </w:p>
        </w:tc>
      </w:tr>
      <w:tr>
        <w:tc>
          <w:tcPr>
            <w:tcW w:type="dxa" w:w="4873"/>
            <w:shd w:val="clear" w:color="auto" w:fill="F1EBDE"/>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AI agents</w:t>
            </w:r>
          </w:p>
        </w:tc>
        <w:tc>
          <w:tcPr>
            <w:tcW w:type="dxa" w:w="4873"/>
            <w:shd w:val="clear" w:color="auto" w:fill="F1EBDE"/>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Unlimited</w:t>
            </w:r>
          </w:p>
        </w:tc>
      </w:tr>
      <w:tr>
        <w:tc>
          <w:tcPr>
            <w:tcW w:type="dxa" w:w="4873"/>
            <w:shd w:val="clear" w:color="auto" w:fill="FBF8F1"/>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Client sub-accounts included</w:t>
            </w:r>
          </w:p>
        </w:tc>
        <w:tc>
          <w:tcPr>
            <w:tcW w:type="dxa" w:w="4873"/>
            <w:shd w:val="clear" w:color="auto" w:fill="FBF8F1"/>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20 (Client Seat add-on likely covers extra beyond this — confirm with Moe, not independently verified)</w:t>
            </w:r>
          </w:p>
        </w:tc>
      </w:tr>
      <w:tr>
        <w:tc>
          <w:tcPr>
            <w:tcW w:type="dxa" w:w="4873"/>
            <w:shd w:val="clear" w:color="auto" w:fill="F1EBDE"/>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Credits/mo</w:t>
            </w:r>
          </w:p>
        </w:tc>
        <w:tc>
          <w:tcPr>
            <w:tcW w:type="dxa" w:w="4873"/>
            <w:shd w:val="clear" w:color="auto" w:fill="F1EBDE"/>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60,000</w:t>
            </w:r>
          </w:p>
        </w:tc>
      </w:tr>
    </w:tbl>
    <w:p>
      <w:pPr>
        <w:spacing w:after="120"/>
      </w:pPr>
    </w:p>
    <w:p>
      <w:pPr>
        <w:spacing w:before="80" w:after="160"/>
      </w:pPr>
      <w:r>
        <w:rPr>
          <w:rFonts w:ascii="Hanken Grotesk" w:hAnsi="Hanken Grotesk" w:cs="Hanken Grotesk"/>
          <w:b w:val="0"/>
          <w:i w:val="0"/>
          <w:color w:val="24352E"/>
          <w:sz w:val="21"/>
        </w:rPr>
        <w:t>Business ($99/mo) and Pro ($59/mo) are not viable production base plans for Zenny's actual model (one Convocore account serving many separate client businesses) — they cap out at a single organization regardless of price, per Convocore's own confirmation above. Business and Pro's individual features (voice, watermark removal, agent counts) are moot once White Label is the floor, since White Label already includes all of them.</w:t>
      </w:r>
    </w:p>
    <w:p>
      <w:pPr>
        <w:spacing w:before="80" w:after="160"/>
      </w:pPr>
      <w:r>
        <w:rPr>
          <w:rFonts w:ascii="Hanken Grotesk" w:hAnsi="Hanken Grotesk" w:cs="Hanken Grotesk"/>
          <w:b/>
          <w:i w:val="0"/>
          <w:color w:val="6E9179"/>
          <w:sz w:val="21"/>
        </w:rPr>
        <w:t xml:space="preserve">Our recommendation: </w:t>
      </w:r>
      <w:r>
        <w:rPr>
          <w:rFonts w:ascii="Hanken Grotesk" w:hAnsi="Hanken Grotesk" w:cs="Hanken Grotesk"/>
          <w:b w:val="0"/>
          <w:i w:val="0"/>
          <w:color w:val="24352E"/>
          <w:sz w:val="21"/>
        </w:rPr>
        <w:t>budget for White Label ($199/mo) starting with client #1. Talk to Moe before committing — Convocore's own AI flagged this as a “specific scaling needs” conversation worth having, and there may be a custom/negotiated arrangement worth knowing about before locking in list price.</w:t>
      </w:r>
    </w:p>
    <w:p>
      <w:pPr>
        <w:spacing w:before="80" w:after="40"/>
      </w:pPr>
      <w:r>
        <w:rPr>
          <w:rFonts w:ascii="Hanken Grotesk" w:hAnsi="Hanken Grotesk" w:cs="Hanken Grotesk"/>
          <w:b/>
          <w:i w:val="0"/>
          <w:color w:val="24352E"/>
          <w:sz w:val="21"/>
        </w:rPr>
        <w:t>Still to confirm on that call, not resolved by this doc:</w:t>
      </w:r>
    </w:p>
    <w:p>
      <w:pPr>
        <w:pStyle w:val="ListBullet"/>
        <w:spacing w:after="80"/>
      </w:pPr>
      <w:r>
        <w:rPr>
          <w:rFonts w:ascii="Hanken Grotesk" w:hAnsi="Hanken Grotesk" w:cs="Hanken Grotesk"/>
          <w:b w:val="0"/>
          <w:i w:val="0"/>
          <w:color w:val="24352E"/>
          <w:sz w:val="21"/>
        </w:rPr>
        <w:t>Does the $15/mo Client Seat add-on apply on top of White Label's 20 included sub-accounts, or is a different mechanism used past 20?</w:t>
      </w:r>
    </w:p>
    <w:p>
      <w:pPr>
        <w:pStyle w:val="ListBullet"/>
        <w:spacing w:after="80"/>
      </w:pPr>
      <w:r>
        <w:rPr>
          <w:rFonts w:ascii="Hanken Grotesk" w:hAnsi="Hanken Grotesk" w:cs="Hanken Grotesk"/>
          <w:b w:val="0"/>
          <w:i w:val="0"/>
          <w:color w:val="24352E"/>
          <w:sz w:val="21"/>
        </w:rPr>
        <w:t>Is there a lower entry cost for a genuinely small (1–3 client) agency just starting out, or is $199/mo list price the real floor regardless of scale?</w:t>
      </w:r>
    </w:p>
    <w:p>
      <w:pPr>
        <w:spacing w:before="80" w:after="160"/>
      </w:pPr>
      <w:r>
        <w:rPr>
          <w:rFonts w:ascii="Hanken Grotesk" w:hAnsi="Hanken Grotesk" w:cs="Hanken Grotesk"/>
          <w:b w:val="0"/>
          <w:i/>
          <w:color w:val="6B6459"/>
          <w:sz w:val="21"/>
        </w:rPr>
        <w:t>Supabase / Notion / Pinecone: see Section 5 — free tier holds for a real range of production usage, not unconditionally forever.</w:t>
      </w:r>
    </w:p>
    <w:p>
      <w:pPr>
        <w:keepNext/>
        <w:spacing w:before="400" w:after="160"/>
        <w:pBdr>
          <w:bottom w:val="single" w:sz="6" w:space="4" w:color="DED6C5"/>
        </w:pBdr>
      </w:pPr>
      <w:r>
        <w:rPr>
          <w:rFonts w:ascii="Fraunces" w:hAnsi="Fraunces" w:cs="Fraunces"/>
          <w:b/>
          <w:i w:val="0"/>
          <w:color w:val="6E9179"/>
          <w:sz w:val="36"/>
        </w:rPr>
        <w:t>4. Example monthly cost</w:t>
      </w:r>
    </w:p>
    <w:p>
      <w:pPr>
        <w:spacing w:before="80" w:after="160"/>
      </w:pPr>
      <w:r>
        <w:rPr>
          <w:rFonts w:ascii="Hanken Grotesk" w:hAnsi="Hanken Grotesk" w:cs="Hanken Grotesk"/>
          <w:b w:val="0"/>
          <w:i w:val="0"/>
          <w:color w:val="24352E"/>
          <w:sz w:val="21"/>
        </w:rPr>
        <w:t>One paying client, White Label required for multi-client management:</w:t>
      </w:r>
    </w:p>
    <w:tbl>
      <w:tblPr>
        <w:tblW w:type="auto" w:w="0"/>
        <w:jc w:val="center"/>
        <w:tblLayout w:type="autofit"/>
        <w:tblLook w:firstColumn="1" w:firstRow="1" w:lastColumn="0" w:lastRow="0" w:noHBand="0" w:noVBand="1" w:val="04A0"/>
      </w:tblPr>
      <w:tblGrid>
        <w:gridCol w:w="4873"/>
        <w:gridCol w:w="4873"/>
      </w:tblGrid>
      <w:tr>
        <w:tc>
          <w:tcPr>
            <w:tcW w:type="dxa" w:w="4873"/>
            <w:shd w:val="clear" w:color="auto" w:fill="6E9179"/>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i w:val="0"/>
                <w:color w:val="FFFFFF"/>
                <w:sz w:val="20"/>
              </w:rPr>
              <w:t>Item</w:t>
            </w:r>
          </w:p>
        </w:tc>
        <w:tc>
          <w:tcPr>
            <w:tcW w:type="dxa" w:w="4873"/>
            <w:shd w:val="clear" w:color="auto" w:fill="6E9179"/>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i w:val="0"/>
                <w:color w:val="FFFFFF"/>
                <w:sz w:val="20"/>
              </w:rPr>
              <w:t>Cost/mo</w:t>
            </w:r>
          </w:p>
        </w:tc>
      </w:tr>
      <w:tr>
        <w:tc>
          <w:tcPr>
            <w:tcW w:type="dxa" w:w="4873"/>
            <w:shd w:val="clear" w:color="auto" w:fill="FBF8F1"/>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Claude Pro</w:t>
            </w:r>
          </w:p>
        </w:tc>
        <w:tc>
          <w:tcPr>
            <w:tcW w:type="dxa" w:w="4873"/>
            <w:shd w:val="clear" w:color="auto" w:fill="FBF8F1"/>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$20</w:t>
            </w:r>
          </w:p>
        </w:tc>
      </w:tr>
      <w:tr>
        <w:tc>
          <w:tcPr>
            <w:tcW w:type="dxa" w:w="4873"/>
            <w:shd w:val="clear" w:color="auto" w:fill="F1EBDE"/>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Hostinger VPS</w:t>
            </w:r>
          </w:p>
        </w:tc>
        <w:tc>
          <w:tcPr>
            <w:tcW w:type="dxa" w:w="4873"/>
            <w:shd w:val="clear" w:color="auto" w:fill="F1EBDE"/>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$19.49</w:t>
            </w:r>
          </w:p>
        </w:tc>
      </w:tr>
      <w:tr>
        <w:tc>
          <w:tcPr>
            <w:tcW w:type="dxa" w:w="4873"/>
            <w:shd w:val="clear" w:color="auto" w:fill="FBF8F1"/>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Convocore White Label</w:t>
            </w:r>
          </w:p>
        </w:tc>
        <w:tc>
          <w:tcPr>
            <w:tcW w:type="dxa" w:w="4873"/>
            <w:shd w:val="clear" w:color="auto" w:fill="FBF8F1"/>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$199</w:t>
            </w:r>
          </w:p>
        </w:tc>
      </w:tr>
      <w:tr>
        <w:tc>
          <w:tcPr>
            <w:tcW w:type="dxa" w:w="4873"/>
            <w:shd w:val="clear" w:color="auto" w:fill="E7EEE5"/>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i w:val="0"/>
                <w:color w:val="6E9179"/>
                <w:sz w:val="20"/>
              </w:rPr>
              <w:t>Total</w:t>
            </w:r>
          </w:p>
        </w:tc>
        <w:tc>
          <w:tcPr>
            <w:tcW w:type="dxa" w:w="4873"/>
            <w:shd w:val="clear" w:color="auto" w:fill="E7EEE5"/>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i w:val="0"/>
                <w:color w:val="6E9179"/>
                <w:sz w:val="20"/>
              </w:rPr>
              <w:t>$238.49/mo</w:t>
            </w:r>
          </w:p>
        </w:tc>
      </w:tr>
    </w:tbl>
    <w:p>
      <w:pPr>
        <w:spacing w:after="120"/>
      </w:pPr>
    </w:p>
    <w:p>
      <w:pPr>
        <w:spacing w:before="80" w:after="160"/>
      </w:pPr>
      <w:r>
        <w:rPr>
          <w:rFonts w:ascii="Hanken Grotesk" w:hAnsi="Hanken Grotesk" w:cs="Hanken Grotesk"/>
          <w:b w:val="0"/>
          <w:i w:val="0"/>
          <w:color w:val="24352E"/>
          <w:sz w:val="21"/>
        </w:rPr>
        <w:t>Up to 20 clients: no further Convocore cost increase (sub-accounts included). Beyond 20, or beyond bundled voice capacity (3 numbers/10 call lines), extra costs apply per the add-on rates in Convocore's pricing table — worth re-confirming with Moe once the roster approaches that range, since exact behavior above the included quota isn't independently verified here.</w:t>
      </w:r>
    </w:p>
    <w:p>
      <w:pPr>
        <w:keepNext/>
        <w:spacing w:before="400" w:after="160"/>
        <w:pBdr>
          <w:bottom w:val="single" w:sz="6" w:space="4" w:color="DED6C5"/>
        </w:pBdr>
      </w:pPr>
      <w:r>
        <w:rPr>
          <w:rFonts w:ascii="Fraunces" w:hAnsi="Fraunces" w:cs="Fraunces"/>
          <w:b/>
          <w:i w:val="0"/>
          <w:color w:val="6E9179"/>
          <w:sz w:val="36"/>
        </w:rPr>
        <w:t>5. Supabase / Notion / Pinecone at production scale</w:t>
      </w:r>
    </w:p>
    <w:p>
      <w:pPr>
        <w:spacing w:before="80" w:after="160"/>
      </w:pPr>
      <w:r>
        <w:rPr>
          <w:rFonts w:ascii="Hanken Grotesk" w:hAnsi="Hanken Grotesk" w:cs="Hanken Grotesk"/>
          <w:b w:val="0"/>
          <w:i w:val="0"/>
          <w:color w:val="24352E"/>
          <w:sz w:val="21"/>
        </w:rPr>
        <w:t>Free tier is what's running today, sufficient at current (near-zero real client) volume. Whether it holds through real production depends on actual usage against each provider's published free-tier caps — not yet load-tested against real client traffic, so treat the following as trigger points to watch, not a guarantee:</w:t>
      </w:r>
    </w:p>
    <w:tbl>
      <w:tblPr>
        <w:tblW w:type="auto" w:w="0"/>
        <w:jc w:val="center"/>
        <w:tblLayout w:type="autofit"/>
        <w:tblLook w:firstColumn="1" w:firstRow="1" w:lastColumn="0" w:lastRow="0" w:noHBand="0" w:noVBand="1" w:val="04A0"/>
      </w:tblPr>
      <w:tblGrid>
        <w:gridCol w:w="3249"/>
        <w:gridCol w:w="3249"/>
        <w:gridCol w:w="3249"/>
      </w:tblGrid>
      <w:tr>
        <w:tc>
          <w:tcPr>
            <w:tcW w:type="dxa" w:w="3249"/>
            <w:shd w:val="clear" w:color="auto" w:fill="6E9179"/>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i w:val="0"/>
                <w:color w:val="FFFFFF"/>
                <w:sz w:val="20"/>
              </w:rPr>
              <w:t>Service</w:t>
            </w:r>
          </w:p>
        </w:tc>
        <w:tc>
          <w:tcPr>
            <w:tcW w:type="dxa" w:w="3249"/>
            <w:shd w:val="clear" w:color="auto" w:fill="6E9179"/>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i w:val="0"/>
                <w:color w:val="FFFFFF"/>
                <w:sz w:val="20"/>
              </w:rPr>
              <w:t>Free-tier cap (published)</w:t>
            </w:r>
          </w:p>
        </w:tc>
        <w:tc>
          <w:tcPr>
            <w:tcW w:type="dxa" w:w="3249"/>
            <w:shd w:val="clear" w:color="auto" w:fill="6E9179"/>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i w:val="0"/>
                <w:color w:val="FFFFFF"/>
                <w:sz w:val="20"/>
              </w:rPr>
              <w:t>Watch for</w:t>
            </w:r>
          </w:p>
        </w:tc>
      </w:tr>
      <w:tr>
        <w:tc>
          <w:tcPr>
            <w:tcW w:type="dxa" w:w="3249"/>
            <w:shd w:val="clear" w:color="auto" w:fill="FBF8F1"/>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Supabase</w:t>
            </w:r>
          </w:p>
        </w:tc>
        <w:tc>
          <w:tcPr>
            <w:tcW w:type="dxa" w:w="3249"/>
            <w:shd w:val="clear" w:color="auto" w:fill="FBF8F1"/>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~500MB database, ~1GB file storage, ~5GB bandwidth/mo</w:t>
            </w:r>
          </w:p>
        </w:tc>
        <w:tc>
          <w:tcPr>
            <w:tcW w:type="dxa" w:w="3249"/>
            <w:shd w:val="clear" w:color="auto" w:fill="FBF8F1"/>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DB size or monthly bandwidth approaching the cap as real client data (leads, orders, conversations) accumulates — likely a mid-double-digit-client concern, not a 1st-client one</w:t>
            </w:r>
          </w:p>
        </w:tc>
      </w:tr>
      <w:tr>
        <w:tc>
          <w:tcPr>
            <w:tcW w:type="dxa" w:w="3249"/>
            <w:shd w:val="clear" w:color="auto" w:fill="F1EBDE"/>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Notion</w:t>
            </w:r>
          </w:p>
        </w:tc>
        <w:tc>
          <w:tcPr>
            <w:tcW w:type="dxa" w:w="3249"/>
            <w:shd w:val="clear" w:color="auto" w:fill="F1EBDE"/>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Free workspace, API rate-limited (~3 req/sec)</w:t>
            </w:r>
          </w:p>
        </w:tc>
        <w:tc>
          <w:tcPr>
            <w:tcW w:type="dxa" w:w="3249"/>
            <w:shd w:val="clear" w:color="auto" w:fill="F1EBDE"/>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Only relevant if KB sync volume or team collaboration inside Notion itself grows heavy — not driven by client count directly</w:t>
            </w:r>
          </w:p>
        </w:tc>
      </w:tr>
      <w:tr>
        <w:tc>
          <w:tcPr>
            <w:tcW w:type="dxa" w:w="3249"/>
            <w:shd w:val="clear" w:color="auto" w:fill="FBF8F1"/>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Pinecone</w:t>
            </w:r>
          </w:p>
        </w:tc>
        <w:tc>
          <w:tcPr>
            <w:tcW w:type="dxa" w:w="3249"/>
            <w:shd w:val="clear" w:color="auto" w:fill="FBF8F1"/>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~2GB storage, ~2M write units/mo, ~1M read units/mo, up to 5 indexes</w:t>
            </w:r>
          </w:p>
        </w:tc>
        <w:tc>
          <w:tcPr>
            <w:tcW w:type="dxa" w:w="3249"/>
            <w:shd w:val="clear" w:color="auto" w:fill="FBF8F1"/>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Write/read units approaching the cap as KB pages × clients × sync frequency grows — first upgrade step if needed is Builder ($20/mo flat)</w:t>
            </w:r>
          </w:p>
        </w:tc>
      </w:tr>
    </w:tbl>
    <w:p>
      <w:pPr>
        <w:spacing w:after="120"/>
      </w:pPr>
    </w:p>
    <w:p>
      <w:pPr>
        <w:spacing w:before="80" w:after="160"/>
      </w:pPr>
      <w:r>
        <w:rPr>
          <w:rFonts w:ascii="Hanken Grotesk" w:hAnsi="Hanken Grotesk" w:cs="Hanken Grotesk"/>
          <w:b/>
          <w:i w:val="0"/>
          <w:color w:val="6E9179"/>
          <w:sz w:val="21"/>
        </w:rPr>
        <w:t xml:space="preserve">Recommendation: </w:t>
      </w:r>
      <w:r>
        <w:rPr>
          <w:rFonts w:ascii="Hanken Grotesk" w:hAnsi="Hanken Grotesk" w:cs="Hanken Grotesk"/>
          <w:b w:val="0"/>
          <w:i w:val="0"/>
          <w:color w:val="24352E"/>
          <w:sz w:val="21"/>
        </w:rPr>
        <w:t>stay on free tier for all three now; revisit only when real usage data shows a metric above genuinely approaching its cap.</w:t>
      </w:r>
    </w:p>
    <w:p>
      <w:pPr>
        <w:keepNext/>
        <w:spacing w:before="400" w:after="160"/>
        <w:pBdr>
          <w:bottom w:val="single" w:sz="6" w:space="4" w:color="DED6C5"/>
        </w:pBdr>
      </w:pPr>
      <w:r>
        <w:rPr>
          <w:rFonts w:ascii="Fraunces" w:hAnsi="Fraunces" w:cs="Fraunces"/>
          <w:b/>
          <w:i w:val="0"/>
          <w:color w:val="6E9179"/>
          <w:sz w:val="36"/>
        </w:rPr>
        <w:t>6. One-time / setup costs</w:t>
      </w:r>
    </w:p>
    <w:tbl>
      <w:tblPr>
        <w:tblW w:type="auto" w:w="0"/>
        <w:jc w:val="center"/>
        <w:tblLayout w:type="autofit"/>
        <w:tblLook w:firstColumn="1" w:firstRow="1" w:lastColumn="0" w:lastRow="0" w:noHBand="0" w:noVBand="1" w:val="04A0"/>
      </w:tblPr>
      <w:tblGrid>
        <w:gridCol w:w="4873"/>
        <w:gridCol w:w="4873"/>
      </w:tblGrid>
      <w:tr>
        <w:tc>
          <w:tcPr>
            <w:tcW w:type="dxa" w:w="4873"/>
            <w:shd w:val="clear" w:color="auto" w:fill="6E9179"/>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i w:val="0"/>
                <w:color w:val="FFFFFF"/>
                <w:sz w:val="20"/>
              </w:rPr>
              <w:t>Item</w:t>
            </w:r>
          </w:p>
        </w:tc>
        <w:tc>
          <w:tcPr>
            <w:tcW w:type="dxa" w:w="4873"/>
            <w:shd w:val="clear" w:color="auto" w:fill="6E9179"/>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i w:val="0"/>
                <w:color w:val="FFFFFF"/>
                <w:sz w:val="20"/>
              </w:rPr>
              <w:t>One-time cost</w:t>
            </w:r>
          </w:p>
        </w:tc>
      </w:tr>
      <w:tr>
        <w:tc>
          <w:tcPr>
            <w:tcW w:type="dxa" w:w="4873"/>
            <w:shd w:val="clear" w:color="auto" w:fill="FBF8F1"/>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Domain + DNS</w:t>
            </w:r>
          </w:p>
        </w:tc>
        <w:tc>
          <w:tcPr>
            <w:tcW w:type="dxa" w:w="4873"/>
            <w:shd w:val="clear" w:color="auto" w:fill="FBF8F1"/>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Already owned (sunk)</w:t>
            </w:r>
          </w:p>
        </w:tc>
      </w:tr>
      <w:tr>
        <w:tc>
          <w:tcPr>
            <w:tcW w:type="dxa" w:w="4873"/>
            <w:shd w:val="clear" w:color="auto" w:fill="F1EBDE"/>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VPS initial setup</w:t>
            </w:r>
          </w:p>
        </w:tc>
        <w:tc>
          <w:tcPr>
            <w:tcW w:type="dxa" w:w="4873"/>
            <w:shd w:val="clear" w:color="auto" w:fill="F1EBDE"/>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Already done (sunk)</w:t>
            </w:r>
          </w:p>
        </w:tc>
      </w:tr>
      <w:tr>
        <w:tc>
          <w:tcPr>
            <w:tcW w:type="dxa" w:w="4873"/>
            <w:shd w:val="clear" w:color="auto" w:fill="FBF8F1"/>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Twilio phone number (only if Zenny provisions it, not the client)</w:t>
            </w:r>
          </w:p>
        </w:tc>
        <w:tc>
          <w:tcPr>
            <w:tcW w:type="dxa" w:w="4873"/>
            <w:shd w:val="clear" w:color="auto" w:fill="FBF8F1"/>
            <w:tcBorders>
              <w:top w:val="single" w:sz="4" w:space="0" w:color="DED6C5"/>
              <w:left w:val="single" w:sz="4" w:space="0" w:color="DED6C5"/>
              <w:bottom w:val="single" w:sz="4" w:space="0" w:color="DED6C5"/>
              <w:right w:val="single" w:sz="4" w:space="0" w:color="DED6C5"/>
            </w:tcBorders>
          </w:tcPr>
          <w:p>
            <w:r/>
            <w:r>
              <w:rPr>
                <w:rFonts w:ascii="Hanken Grotesk" w:hAnsi="Hanken Grotesk" w:cs="Hanken Grotesk"/>
                <w:b w:val="0"/>
                <w:i w:val="0"/>
                <w:color w:val="24352E"/>
                <w:sz w:val="20"/>
              </w:rPr>
              <w:t>~$1 one-time + ongoing usage — covered by White Label's bundled numbers/lines up to the included quota</w:t>
            </w:r>
          </w:p>
        </w:tc>
      </w:tr>
    </w:tbl>
    <w:p>
      <w:pPr>
        <w:spacing w:after="120"/>
      </w:pPr>
    </w:p>
    <w:p>
      <w:pPr>
        <w:keepNext/>
        <w:spacing w:before="400" w:after="160"/>
        <w:pBdr>
          <w:bottom w:val="single" w:sz="6" w:space="4" w:color="DED6C5"/>
        </w:pBdr>
      </w:pPr>
      <w:r>
        <w:rPr>
          <w:rFonts w:ascii="Fraunces" w:hAnsi="Fraunces" w:cs="Fraunces"/>
          <w:b/>
          <w:i w:val="0"/>
          <w:color w:val="6E9179"/>
          <w:sz w:val="36"/>
        </w:rPr>
        <w:t>7. Decisions needed</w:t>
      </w:r>
    </w:p>
    <w:p>
      <w:pPr>
        <w:pStyle w:val="ListNumber"/>
        <w:spacing w:after="120"/>
      </w:pPr>
      <w:r>
        <w:rPr>
          <w:rFonts w:ascii="Hanken Grotesk" w:hAnsi="Hanken Grotesk" w:cs="Hanken Grotesk"/>
          <w:b/>
          <w:i w:val="0"/>
          <w:color w:val="24352E"/>
          <w:sz w:val="21"/>
        </w:rPr>
        <w:t>Build-phase Convocore tier</w:t>
      </w:r>
      <w:r>
        <w:rPr>
          <w:rFonts w:ascii="Hanken Grotesk" w:hAnsi="Hanken Grotesk" w:cs="Hanken Grotesk"/>
          <w:b w:val="0"/>
          <w:i w:val="0"/>
          <w:color w:val="24352E"/>
          <w:sz w:val="21"/>
        </w:rPr>
        <w:t xml:space="preserve"> — Free or Pro ($59/mo, sprint-scoped)?</w:t>
      </w:r>
    </w:p>
    <w:p>
      <w:pPr>
        <w:pStyle w:val="ListNumber"/>
        <w:spacing w:after="120"/>
      </w:pPr>
      <w:r>
        <w:rPr>
          <w:rFonts w:ascii="Hanken Grotesk" w:hAnsi="Hanken Grotesk" w:cs="Hanken Grotesk"/>
          <w:b/>
          <w:i w:val="0"/>
          <w:color w:val="24352E"/>
          <w:sz w:val="21"/>
        </w:rPr>
        <w:t>Call with Moe</w:t>
      </w:r>
      <w:r>
        <w:rPr>
          <w:rFonts w:ascii="Hanken Grotesk" w:hAnsi="Hanken Grotesk" w:cs="Hanken Grotesk"/>
          <w:b w:val="0"/>
          <w:i w:val="0"/>
          <w:color w:val="24352E"/>
          <w:sz w:val="21"/>
        </w:rPr>
        <w:t xml:space="preserve"> — book before finalizing; confirm the two open questions in Section 3 (Client Seat mechanics past 20 sub-accounts, and whether a lower-cost entry path exists for a small starting agency).</w:t>
      </w:r>
    </w:p>
    <w:p>
      <w:pPr>
        <w:pStyle w:val="ListNumber"/>
        <w:spacing w:after="120"/>
      </w:pPr>
      <w:r>
        <w:rPr>
          <w:rFonts w:ascii="Hanken Grotesk" w:hAnsi="Hanken Grotesk" w:cs="Hanken Grotesk"/>
          <w:b/>
          <w:i w:val="0"/>
          <w:color w:val="24352E"/>
          <w:sz w:val="21"/>
        </w:rPr>
        <w:t>Production base plan</w:t>
      </w:r>
      <w:r>
        <w:rPr>
          <w:rFonts w:ascii="Hanken Grotesk" w:hAnsi="Hanken Grotesk" w:cs="Hanken Grotesk"/>
          <w:b w:val="0"/>
          <w:i w:val="0"/>
          <w:color w:val="24352E"/>
          <w:sz w:val="21"/>
        </w:rPr>
        <w:t xml:space="preserve"> — resolved: White Label ($199/mo), required from client #1. Not an open option anymore, pending only the confirmations above.</w:t>
      </w:r>
    </w:p>
    <w:p>
      <w:pPr>
        <w:spacing w:before="480"/>
        <w:pBdr>
          <w:top w:val="single" w:sz="4" w:space="4" w:color="DED6C5"/>
        </w:pBdr>
      </w:pPr>
      <w:r>
        <w:rPr>
          <w:rFonts w:ascii="Space Mono" w:hAnsi="Space Mono" w:cs="Space Mono"/>
          <w:b w:val="0"/>
          <w:i w:val="0"/>
          <w:color w:val="6B6459"/>
          <w:sz w:val="16"/>
        </w:rPr>
        <w:t>Zenny by ZeroManual  ·  Internal — not for external distribution</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anken Grotesk" w:hAnsi="Hanken Grotesk"/>
      <w:color w:val="2435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