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FF6B00"/>
          <w:spacing w:val="30"/>
          <w:sz w:val="20"/>
          <w:szCs w:val="20"/>
        </w:rPr>
        <w:t xml:space="preserve">ZENNY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2B3C"/>
          <w:sz w:val="40"/>
          <w:szCs w:val="40"/>
        </w:rPr>
        <w:t xml:space="preserve">Infrastructure Cost Breakdown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A5A5A"/>
          <w:sz w:val="22"/>
          <w:szCs w:val="22"/>
        </w:rPr>
        <w:t xml:space="preserve">A plain-language guide to what Zenny costs to run each month, and how that changes as we add clients.</w:t>
      </w:r>
    </w:p>
    <w:p>
      <w:pPr>
        <w:pBdr>
          <w:bottom w:val="single" w:color="FF6B00" w:sz="12" w:space="1"/>
        </w:pBdr>
        <w:spacing w:after="200" w:before="10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2B3C"/>
        </w:rPr>
        <w:t xml:space="preserve">Fixed monthly infrastructure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These are the core services Zenny runs on. Two of them are free until we land our first paying client.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00"/>
      </w:tblGrid>
      <w:tr>
        <w:trPr>
          <w:tblHeader/>
        </w:trPr>
        <w:tc>
          <w:tcPr>
            <w:tcW w:type="dxa" w:w="3200"/>
            <w:shd w:fill="1A2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Service</w:t>
            </w:r>
          </w:p>
        </w:tc>
        <w:tc>
          <w:tcPr>
            <w:tcW w:type="dxa" w:w="1800"/>
            <w:shd w:fill="1A2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Monthly cost</w:t>
            </w:r>
          </w:p>
        </w:tc>
        <w:tc>
          <w:tcPr>
            <w:tcW w:type="dxa" w:w="4300"/>
            <w:shd w:fill="1A2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n8n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$20</w:t>
            </w:r>
          </w:p>
        </w:tc>
        <w:tc>
          <w:tcPr>
            <w:tcW w:type="dxa" w:w="4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Required from day 1</w:t>
            </w:r>
          </w:p>
        </w:tc>
      </w:tr>
      <w:tr>
        <w:tc>
          <w:tcPr>
            <w:tcW w:type="dxa" w:w="3200"/>
            <w:shd w:fill="F5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Supabase</w:t>
            </w:r>
          </w:p>
        </w:tc>
        <w:tc>
          <w:tcPr>
            <w:tcW w:type="dxa" w:w="1800"/>
            <w:shd w:fill="F5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$25</w:t>
            </w:r>
          </w:p>
        </w:tc>
        <w:tc>
          <w:tcPr>
            <w:tcW w:type="dxa" w:w="4300"/>
            <w:shd w:fill="F5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Free before first client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Convocore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$20</w:t>
            </w:r>
          </w:p>
        </w:tc>
        <w:tc>
          <w:tcPr>
            <w:tcW w:type="dxa" w:w="4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Free before first client. Includes 2 client seats + $5 AI credit</w:t>
            </w:r>
          </w:p>
        </w:tc>
      </w:tr>
      <w:tr>
        <w:tc>
          <w:tcPr>
            <w:tcW w:type="dxa" w:w="3200"/>
            <w:shd w:fill="F5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Convocore White Label</w:t>
            </w:r>
          </w:p>
        </w:tc>
        <w:tc>
          <w:tcPr>
            <w:tcW w:type="dxa" w:w="1800"/>
            <w:shd w:fill="F5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$200</w:t>
            </w:r>
          </w:p>
        </w:tc>
        <w:tc>
          <w:tcPr>
            <w:tcW w:type="dxa" w:w="4300"/>
            <w:shd w:fill="F5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Optional. Consider after 10+ paying clients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2B3C"/>
        </w:rPr>
        <w:t xml:space="preserve">Per-client cost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Once the core infrastructure is active, each additional client adds a flat cost.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000"/>
      </w:tblGrid>
      <w:tr>
        <w:trPr>
          <w:tblHeader/>
        </w:trPr>
        <w:tc>
          <w:tcPr>
            <w:tcW w:type="dxa" w:w="7300"/>
            <w:shd w:fill="1A2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Item</w:t>
            </w:r>
          </w:p>
        </w:tc>
        <w:tc>
          <w:tcPr>
            <w:tcW w:type="dxa" w:w="2000"/>
            <w:shd w:fill="1A2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Cost</w:t>
            </w:r>
          </w:p>
        </w:tc>
      </w:tr>
      <w:tr>
        <w:tc>
          <w:tcPr>
            <w:tcW w:type="dxa" w:w="7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Additional Convocore client seat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$15 / month</w:t>
            </w:r>
          </w:p>
        </w:tc>
      </w:tr>
    </w:tbl>
    <w:p>
      <w:pPr>
        <w:pBdr>
          <w:left w:val="single" w:color="FF6B00" w:sz="24" w:space="8"/>
        </w:pBdr>
        <w:shd w:fill="FFF1E6" w:val="clear"/>
        <w:spacing w:after="100" w:before="200"/>
      </w:pPr>
      <w:r>
        <w:rPr>
          <w:rFonts w:ascii="Calibri" w:cs="Calibri" w:eastAsia="Calibri" w:hAnsi="Calibri"/>
          <w:b/>
          <w:bCs/>
          <w:color w:val="1A2B3C"/>
          <w:sz w:val="22"/>
          <w:szCs w:val="22"/>
        </w:rPr>
        <w:t xml:space="preserve">  After the first client, every additional client adds only ~$15/month in infrastructure cost.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2B3C"/>
        </w:rPr>
        <w:t xml:space="preserve">Growth cost timeline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How total monthly cost grows as we sign clients.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00"/>
      </w:tblGrid>
      <w:tr>
        <w:trPr>
          <w:tblHeader/>
        </w:trPr>
        <w:tc>
          <w:tcPr>
            <w:tcW w:type="dxa" w:w="2800"/>
            <w:shd w:fill="1A2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Stage</w:t>
            </w:r>
          </w:p>
        </w:tc>
        <w:tc>
          <w:tcPr>
            <w:tcW w:type="dxa" w:w="4200"/>
            <w:shd w:fill="1A2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What's active</w:t>
            </w:r>
          </w:p>
        </w:tc>
        <w:tc>
          <w:tcPr>
            <w:tcW w:type="dxa" w:w="2300"/>
            <w:shd w:fill="1A2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Total monthly cost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Before any client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n8n</w:t>
            </w:r>
          </w:p>
        </w:tc>
        <w:tc>
          <w:tcPr>
            <w:tcW w:type="dxa" w:w="2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$20</w:t>
            </w:r>
          </w:p>
        </w:tc>
      </w:tr>
      <w:tr>
        <w:tc>
          <w:tcPr>
            <w:tcW w:type="dxa" w:w="2800"/>
            <w:shd w:fill="F5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After 1st client</w:t>
            </w:r>
          </w:p>
        </w:tc>
        <w:tc>
          <w:tcPr>
            <w:tcW w:type="dxa" w:w="4200"/>
            <w:shd w:fill="F5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n8n + Supabase + Convocore</w:t>
            </w:r>
          </w:p>
        </w:tc>
        <w:tc>
          <w:tcPr>
            <w:tcW w:type="dxa" w:w="2300"/>
            <w:shd w:fill="F5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$65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After 2nd client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+ 1 client seat</w:t>
            </w:r>
          </w:p>
        </w:tc>
        <w:tc>
          <w:tcPr>
            <w:tcW w:type="dxa" w:w="2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$80</w:t>
            </w:r>
          </w:p>
        </w:tc>
      </w:tr>
      <w:tr>
        <w:tc>
          <w:tcPr>
            <w:tcW w:type="dxa" w:w="2800"/>
            <w:shd w:fill="F5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After 3rd client</w:t>
            </w:r>
          </w:p>
        </w:tc>
        <w:tc>
          <w:tcPr>
            <w:tcW w:type="dxa" w:w="4200"/>
            <w:shd w:fill="F5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+ 1 client seat</w:t>
            </w:r>
          </w:p>
        </w:tc>
        <w:tc>
          <w:tcPr>
            <w:tcW w:type="dxa" w:w="2300"/>
            <w:shd w:fill="F5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$95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After 4th client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+ 1 client seat</w:t>
            </w:r>
          </w:p>
        </w:tc>
        <w:tc>
          <w:tcPr>
            <w:tcW w:type="dxa" w:w="2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$110</w:t>
            </w:r>
          </w:p>
        </w:tc>
      </w:tr>
      <w:tr>
        <w:tc>
          <w:tcPr>
            <w:tcW w:type="dxa" w:w="2800"/>
            <w:shd w:fill="F5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After 5th client</w:t>
            </w:r>
          </w:p>
        </w:tc>
        <w:tc>
          <w:tcPr>
            <w:tcW w:type="dxa" w:w="4200"/>
            <w:shd w:fill="F5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+ 1 client seat</w:t>
            </w:r>
          </w:p>
        </w:tc>
        <w:tc>
          <w:tcPr>
            <w:tcW w:type="dxa" w:w="2300"/>
            <w:shd w:fill="F5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$125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2B3C"/>
        </w:rPr>
        <w:t xml:space="preserve">Simple formula</w:t>
      </w:r>
    </w:p>
    <w:p>
      <w:pPr>
        <w:shd w:fill="F5F6F8" w:val="clear"/>
        <w:spacing w:after="8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  0 clients:      $20/month</w:t>
      </w:r>
    </w:p>
    <w:p>
      <w:pPr>
        <w:shd w:fill="F5F6F8" w:val="clear"/>
        <w:spacing w:after="8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  1+ clients:    $65 + (clients − 1) × $15</w:t>
      </w:r>
    </w:p>
    <w:p>
      <w:pPr>
        <w:spacing w:after="24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2B3C"/>
        </w:rPr>
        <w:t xml:space="preserve">Key takeaways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FF6B00"/>
          <w:sz w:val="22"/>
          <w:szCs w:val="22"/>
        </w:rPr>
        <w:t xml:space="preserve">→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Starting infra cost is only $20/month before any client is signed.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FF6B00"/>
          <w:sz w:val="22"/>
          <w:szCs w:val="22"/>
        </w:rPr>
        <w:t xml:space="preserve">→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Landing the first client raises cost to $65/month — Supabase and Convocore activate.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FF6B00"/>
          <w:sz w:val="22"/>
          <w:szCs w:val="22"/>
        </w:rPr>
        <w:t xml:space="preserve">→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Every client after the first adds only ~$15/month.</w:t>
      </w: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FF6B00"/>
          <w:sz w:val="22"/>
          <w:szCs w:val="22"/>
        </w:rPr>
        <w:t xml:space="preserve">→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The $200/month White Label plan is optional — revisit once we have 10+ paying clients.</w:t>
      </w:r>
    </w:p>
    <w:p>
      <w:pPr>
        <w:pBdr>
          <w:bottom w:val="single" w:color="FF6B00" w:sz="12" w:space="1"/>
        </w:pBdr>
        <w:spacing w:after="200" w:before="100"/>
      </w:pPr>
    </w:p>
    <w:p>
      <w:pPr>
        <w:spacing w:before="120"/>
      </w:pP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This is a healthy SaaS cost structure — incremental cost per client is low, leaving strong margin room if Zenny is priced in the $300–1,000+/month range.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2026-07-21T05:44:30.926Z</dcterms:created>
  <dcterms:modified xsi:type="dcterms:W3CDTF">2026-07-21T05:44:30.957Z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