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FF6B00"/>
          <w:spacing w:val="30"/>
          <w:sz w:val="18"/>
          <w:szCs w:val="18"/>
        </w:rPr>
        <w:t xml:space="preserve">ZENNY · INTERNAL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2B3C"/>
          <w:sz w:val="38"/>
          <w:szCs w:val="38"/>
        </w:rPr>
        <w:t xml:space="preserve">Pricing Strategy &amp; Margin Overview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Internal document — not for client distribution. Margin model based on current infra cost structure and product offer pricing.</w:t>
      </w:r>
    </w:p>
    <w:p>
      <w:pPr>
        <w:pBdr>
          <w:bottom w:val="single" w:color="FF6B00" w:sz="16" w:space="1"/>
        </w:pBdr>
        <w:spacing w:after="80"/>
      </w:pPr>
    </w:p>
    <w:p>
      <w:pPr>
        <w:pStyle w:val="Heading1"/>
        <w:pBdr>
          <w:bottom w:val="single" w:color="FF6B00" w:sz="6" w:space="4"/>
        </w:pBdr>
        <w:spacing w:after="130" w:before="320"/>
      </w:pPr>
      <w:r>
        <w:rPr>
          <w:rFonts w:ascii="Calibri" w:cs="Calibri" w:eastAsia="Calibri" w:hAnsi="Calibri"/>
          <w:b/>
          <w:bCs/>
          <w:color w:val="1A2B3C"/>
          <w:sz w:val="28"/>
          <w:szCs w:val="28"/>
        </w:rPr>
        <w:t xml:space="preserve">Cost assumptions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model separates two cost types: fixed infrastructure overhead (not driven by client count) and marginal cost per client (seat + AI usage).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00"/>
      </w:tblGrid>
      <w:tr>
        <w:trPr>
          <w:tblHeader/>
        </w:trPr>
        <w:tc>
          <w:tcPr>
            <w:tcW w:type="dxa" w:w="36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item</w:t>
            </w:r>
          </w:p>
        </w:tc>
        <w:tc>
          <w:tcPr>
            <w:tcW w:type="dxa" w:w="24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33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n8n + Supabase + Convocore base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$65/month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Fixed overhead (active once client #1 signs)</w:t>
            </w:r>
          </w:p>
        </w:tc>
      </w:tr>
      <w:tr>
        <w:tc>
          <w:tcPr>
            <w:tcW w:type="dxa" w:w="3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Additional Convocore client seat</w:t>
            </w:r>
          </w:p>
        </w:tc>
        <w:tc>
          <w:tcPr>
            <w:tcW w:type="dxa" w:w="24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$15/month</w:t>
            </w:r>
          </w:p>
        </w:tc>
        <w:tc>
          <w:tcPr>
            <w:tcW w:type="dxa" w:w="3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Marginal — per client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usage — budget model (blended)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~$0.002/conversation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Marginal — scales with volume</w:t>
            </w:r>
          </w:p>
        </w:tc>
      </w:tr>
      <w:tr>
        <w:tc>
          <w:tcPr>
            <w:tcW w:type="dxa" w:w="3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usage — mid-tier model (blended)</w:t>
            </w:r>
          </w:p>
        </w:tc>
        <w:tc>
          <w:tcPr>
            <w:tcW w:type="dxa" w:w="24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~$0.004/conversation</w:t>
            </w:r>
          </w:p>
        </w:tc>
        <w:tc>
          <w:tcPr>
            <w:tcW w:type="dxa" w:w="3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Marginal — if client needs stronger model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AI usage cost is estimated from Convocore's published rates: $0.001 base interaction fee + LLM token cost. Budget-tier models (GPT-4o-mini, GLM-4.7) blend to roughly $0.002/conversation for typical support conversation length; mid-tier models roughly double that. Actual cost depends on conversation length and model choice per client.</w:t>
      </w:r>
    </w:p>
    <w:p>
      <w:pPr>
        <w:pStyle w:val="Heading1"/>
        <w:pBdr>
          <w:bottom w:val="single" w:color="FF6B00" w:sz="6" w:space="4"/>
        </w:pBdr>
        <w:spacing w:after="130" w:before="320"/>
      </w:pPr>
      <w:r>
        <w:rPr>
          <w:rFonts w:ascii="Calibri" w:cs="Calibri" w:eastAsia="Calibri" w:hAnsi="Calibri"/>
          <w:b/>
          <w:bCs/>
          <w:color w:val="1A2B3C"/>
          <w:sz w:val="28"/>
          <w:szCs w:val="28"/>
        </w:rPr>
        <w:t xml:space="preserve">Margin per pricing tier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Marginal cost only — one client seat ($15) + AI usage at included volume. Fixed $65 overhead is not allocated here since it doesn't change with which tier a client is on.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700"/>
        <w:gridCol w:w="1700"/>
        <w:gridCol w:w="1300"/>
        <w:gridCol w:w="1500"/>
        <w:gridCol w:w="1200"/>
      </w:tblGrid>
      <w:tr>
        <w:trPr>
          <w:tblHeader/>
        </w:trPr>
        <w:tc>
          <w:tcPr>
            <w:tcW w:type="dxa" w:w="16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7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Included convos</w:t>
            </w:r>
          </w:p>
        </w:tc>
        <w:tc>
          <w:tcPr>
            <w:tcW w:type="dxa" w:w="17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cost (budget)</w:t>
            </w:r>
          </w:p>
        </w:tc>
        <w:tc>
          <w:tcPr>
            <w:tcW w:type="dxa" w:w="13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Seat cost</w:t>
            </w:r>
          </w:p>
        </w:tc>
        <w:tc>
          <w:tcPr>
            <w:tcW w:type="dxa" w:w="15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2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Starter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$299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1,000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$2.00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$282.00</w:t>
            </w:r>
          </w:p>
        </w:tc>
        <w:tc>
          <w:tcPr>
            <w:tcW w:type="dxa" w:w="12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94.3%</w:t>
            </w:r>
          </w:p>
        </w:tc>
      </w:tr>
      <w:tr>
        <w:tc>
          <w:tcPr>
            <w:tcW w:type="dxa" w:w="1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Growth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$499</w:t>
            </w:r>
          </w:p>
        </w:tc>
        <w:tc>
          <w:tcPr>
            <w:tcW w:type="dxa" w:w="17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3,000</w:t>
            </w:r>
          </w:p>
        </w:tc>
        <w:tc>
          <w:tcPr>
            <w:tcW w:type="dxa" w:w="17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$6.00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$15</w:t>
            </w:r>
          </w:p>
        </w:tc>
        <w:tc>
          <w:tcPr>
            <w:tcW w:type="dxa" w:w="15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$478.00</w:t>
            </w:r>
          </w:p>
        </w:tc>
        <w:tc>
          <w:tcPr>
            <w:tcW w:type="dxa" w:w="12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95.8%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$799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6,000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$12.00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$772.00</w:t>
            </w:r>
          </w:p>
        </w:tc>
        <w:tc>
          <w:tcPr>
            <w:tcW w:type="dxa" w:w="12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96.6%</w:t>
            </w:r>
          </w:p>
        </w:tc>
      </w:tr>
    </w:tbl>
    <w:p>
      <w:pPr>
        <w:spacing w:after="100"/>
      </w:pPr>
    </w:p>
    <w:p>
      <w:pPr>
        <w:pBdr>
          <w:left w:val="single" w:color="FF6B00" w:sz="24" w:space="8"/>
        </w:pBdr>
        <w:shd w:fill="FFF1E6" w:val="clear"/>
        <w:spacing w:after="160" w:before="10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  Margin % improves at higher tiers — AI usage cost per conversation is fixed regardless of tier, so higher-priced plans absorb it more easily. Seat cost ($15) is the same flat amount across all tiers.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If a client on mid-tier LLM usage doubles the AI cost line, margin impact is still marginal — Starter drops to ~92.6%, Pro stays above 95%. AI usage cost is not the constraint on this pricing; it is the seat and support cost that matters more at scale.</w:t>
      </w:r>
    </w:p>
    <w:p>
      <w:pPr>
        <w:pageBreakBefore/>
      </w:pPr>
    </w:p>
    <w:p>
      <w:pPr>
        <w:pStyle w:val="Heading1"/>
        <w:pBdr>
          <w:bottom w:val="single" w:color="FF6B00" w:sz="6" w:space="4"/>
        </w:pBdr>
        <w:spacing w:after="130" w:before="320"/>
      </w:pPr>
      <w:r>
        <w:rPr>
          <w:rFonts w:ascii="Calibri" w:cs="Calibri" w:eastAsia="Calibri" w:hAnsi="Calibri"/>
          <w:b/>
          <w:bCs/>
          <w:color w:val="1A2B3C"/>
          <w:sz w:val="28"/>
          <w:szCs w:val="28"/>
        </w:rPr>
        <w:t xml:space="preserve">Fleet-level margin (blended client mix)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Models total business margin as client count grows, assuming an even mix across Starter / Growth / Pro. Fixed $65/month overhead is subtracted once at the fleet level — not per client.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1300"/>
        <w:gridCol w:w="1500"/>
        <w:gridCol w:w="1600"/>
        <w:gridCol w:w="1400"/>
      </w:tblGrid>
      <w:tr>
        <w:trPr>
          <w:tblHeader/>
        </w:trPr>
        <w:tc>
          <w:tcPr>
            <w:tcW w:type="dxa" w:w="13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15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3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Seat cost</w:t>
            </w:r>
          </w:p>
        </w:tc>
        <w:tc>
          <w:tcPr>
            <w:tcW w:type="dxa" w:w="13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cost</w:t>
            </w:r>
          </w:p>
        </w:tc>
        <w:tc>
          <w:tcPr>
            <w:tcW w:type="dxa" w:w="15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Fixed overhead</w:t>
            </w:r>
          </w:p>
        </w:tc>
        <w:tc>
          <w:tcPr>
            <w:tcW w:type="dxa" w:w="16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profit</w:t>
            </w:r>
          </w:p>
        </w:tc>
        <w:tc>
          <w:tcPr>
            <w:tcW w:type="dxa" w:w="14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margin %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$532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$6.67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$460.67</w:t>
            </w:r>
          </w:p>
        </w:tc>
        <w:tc>
          <w:tcPr>
            <w:tcW w:type="dxa" w:w="14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86.5%</w:t>
            </w:r>
          </w:p>
        </w:tc>
      </w:tr>
      <w:tr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$1,065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$15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$13.33</w:t>
            </w:r>
          </w:p>
        </w:tc>
        <w:tc>
          <w:tcPr>
            <w:tcW w:type="dxa" w:w="15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$65</w:t>
            </w:r>
          </w:p>
        </w:tc>
        <w:tc>
          <w:tcPr>
            <w:tcW w:type="dxa" w:w="1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$971.33</w:t>
            </w:r>
          </w:p>
        </w:tc>
        <w:tc>
          <w:tcPr>
            <w:tcW w:type="dxa" w:w="14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$1,597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$30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$20.00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$1,482.00</w:t>
            </w:r>
          </w:p>
        </w:tc>
        <w:tc>
          <w:tcPr>
            <w:tcW w:type="dxa" w:w="14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92.8%</w:t>
            </w:r>
          </w:p>
        </w:tc>
      </w:tr>
      <w:tr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$2,662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$60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$33.33</w:t>
            </w:r>
          </w:p>
        </w:tc>
        <w:tc>
          <w:tcPr>
            <w:tcW w:type="dxa" w:w="15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$65</w:t>
            </w:r>
          </w:p>
        </w:tc>
        <w:tc>
          <w:tcPr>
            <w:tcW w:type="dxa" w:w="1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$2,503.33</w:t>
            </w:r>
          </w:p>
        </w:tc>
        <w:tc>
          <w:tcPr>
            <w:tcW w:type="dxa" w:w="14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94.1%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$5,323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$135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$66.67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$5,056.67</w:t>
            </w:r>
          </w:p>
        </w:tc>
        <w:tc>
          <w:tcPr>
            <w:tcW w:type="dxa" w:w="14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95.0%</w:t>
            </w:r>
          </w:p>
        </w:tc>
      </w:tr>
      <w:tr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$10,647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$285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$133.33</w:t>
            </w:r>
          </w:p>
        </w:tc>
        <w:tc>
          <w:tcPr>
            <w:tcW w:type="dxa" w:w="15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$65</w:t>
            </w:r>
          </w:p>
        </w:tc>
        <w:tc>
          <w:tcPr>
            <w:tcW w:type="dxa" w:w="1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$10,163.33</w:t>
            </w:r>
          </w:p>
        </w:tc>
        <w:tc>
          <w:tcPr>
            <w:tcW w:type="dxa" w:w="14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95.5%</w:t>
            </w:r>
          </w:p>
        </w:tc>
      </w:tr>
    </w:tbl>
    <w:p>
      <w:pPr>
        <w:spacing w:after="100"/>
      </w:pPr>
    </w:p>
    <w:p>
      <w:pPr>
        <w:pBdr>
          <w:left w:val="single" w:color="FF6B00" w:sz="24" w:space="8"/>
        </w:pBdr>
        <w:shd w:fill="E8F5EC" w:val="clear"/>
        <w:spacing w:after="160" w:before="10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  Net margin climbs from ~87% at client #1 to ~95%+ once past 10 clients — the fixed $65 overhead gets diluted across more revenue while marginal cost per client stays flat at ~$15-20.</w:t>
      </w:r>
    </w:p>
    <w:p>
      <w:pPr>
        <w:pStyle w:val="Heading2"/>
        <w:spacing w:after="90" w:before="80"/>
      </w:pPr>
      <w:r>
        <w:rPr>
          <w:rFonts w:ascii="Calibri" w:cs="Calibri" w:eastAsia="Calibri" w:hAnsi="Calibri"/>
          <w:b/>
          <w:bCs/>
          <w:color w:val="1A2B3C"/>
          <w:sz w:val="23"/>
          <w:szCs w:val="23"/>
        </w:rPr>
        <w:t xml:space="preserve">What this means strategically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 overhead is the only real drag on early-stage margin — it's already absorbed by client #1's revenue alone (client #1 nets $460+/month even after covering all infra).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There is no meaningful margin penalty for growing client count — cost scales at ~$15-20/client while average revenue per client is $400-700+.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AI usage cost is a rounding error against subscription price at current tier pricing — it does not need to be a pricing lever unless a client runs unusually high volume or requests premium models.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real margin risk is support cost and delivery time (not modeled here) — infra and AI usage are not the constraint on scaling.</w:t>
      </w:r>
    </w:p>
    <w:p>
      <w:pPr>
        <w:pStyle w:val="Heading1"/>
        <w:pBdr>
          <w:bottom w:val="single" w:color="FF6B00" w:sz="6" w:space="4"/>
        </w:pBdr>
        <w:spacing w:after="130" w:before="320"/>
      </w:pPr>
      <w:r>
        <w:rPr>
          <w:rFonts w:ascii="Calibri" w:cs="Calibri" w:eastAsia="Calibri" w:hAnsi="Calibri"/>
          <w:b/>
          <w:bCs/>
          <w:color w:val="1A2B3C"/>
          <w:sz w:val="28"/>
          <w:szCs w:val="28"/>
        </w:rPr>
        <w:t xml:space="preserve">Forward estimate — 6 &amp; 12 month scenarios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400"/>
        <w:gridCol w:w="2200"/>
        <w:gridCol w:w="1700"/>
      </w:tblGrid>
      <w:tr>
        <w:trPr>
          <w:tblHeader/>
        </w:trPr>
        <w:tc>
          <w:tcPr>
            <w:tcW w:type="dxa" w:w="26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3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4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monthly revenue</w:t>
            </w:r>
          </w:p>
        </w:tc>
        <w:tc>
          <w:tcPr>
            <w:tcW w:type="dxa" w:w="22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net profit</w:t>
            </w:r>
          </w:p>
        </w:tc>
        <w:tc>
          <w:tcPr>
            <w:tcW w:type="dxa" w:w="1700"/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margin 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Conservative (6mo)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$2,662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$2,503</w:t>
            </w:r>
          </w:p>
        </w:tc>
        <w:tc>
          <w:tcPr>
            <w:tcW w:type="dxa" w:w="17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94.1%</w:t>
            </w:r>
          </w:p>
        </w:tc>
      </w:tr>
      <w:tr>
        <w:tc>
          <w:tcPr>
            <w:tcW w:type="dxa" w:w="2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Base case (6mo)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$4,258</w:t>
            </w:r>
          </w:p>
        </w:tc>
        <w:tc>
          <w:tcPr>
            <w:tcW w:type="dxa" w:w="22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$4,013</w:t>
            </w:r>
          </w:p>
        </w:tc>
        <w:tc>
          <w:tcPr>
            <w:tcW w:type="dxa" w:w="17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Conservative (12mo)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$5,323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$5,057</w:t>
            </w:r>
          </w:p>
        </w:tc>
        <w:tc>
          <w:tcPr>
            <w:tcW w:type="dxa" w:w="17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95.0%</w:t>
            </w:r>
          </w:p>
        </w:tc>
      </w:tr>
      <w:tr>
        <w:tc>
          <w:tcPr>
            <w:tcW w:type="dxa" w:w="26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Base case (12mo)</w:t>
            </w:r>
          </w:p>
        </w:tc>
        <w:tc>
          <w:tcPr>
            <w:tcW w:type="dxa" w:w="13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$10,647</w:t>
            </w:r>
          </w:p>
        </w:tc>
        <w:tc>
          <w:tcPr>
            <w:tcW w:type="dxa" w:w="2200"/>
            <w:shd w:fill="F5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$10,163</w:t>
            </w:r>
          </w:p>
        </w:tc>
        <w:tc>
          <w:tcPr>
            <w:tcW w:type="dxa" w:w="17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95.5%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Stretch (12mo)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$18,632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$17,798</w:t>
            </w:r>
          </w:p>
        </w:tc>
        <w:tc>
          <w:tcPr>
            <w:tcW w:type="dxa" w:w="1700"/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F3E"/>
                <w:sz w:val="18"/>
                <w:szCs w:val="18"/>
              </w:rPr>
              <w:t xml:space="preserve">95.5%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Assumes even distribution across Starter/Growth/Pro and no Voice/SMS add-on adoption. Voice &amp; SMS revenue and its added Twilio/telephony cost are excluded from this model — to be modeled separately once that tier is finalized and live.</w:t>
      </w:r>
    </w:p>
    <w:p>
      <w:pPr>
        <w:pStyle w:val="Heading2"/>
        <w:spacing w:after="90" w:before="80"/>
      </w:pPr>
      <w:r>
        <w:rPr>
          <w:rFonts w:ascii="Calibri" w:cs="Calibri" w:eastAsia="Calibri" w:hAnsi="Calibri"/>
          <w:b/>
          <w:bCs/>
          <w:color w:val="1A2B3C"/>
          <w:sz w:val="23"/>
          <w:szCs w:val="23"/>
        </w:rPr>
        <w:t xml:space="preserve">Where margin could compress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Heavy adoption of premium LLM models (Claude Sonnet, GPT-5) by clients needing higher-quality responses — could push AI cost 5-10x higher per conversation, still small relative to subscription price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Voice &amp; SMS add-on — real new cost stack (Twilio number $3/mo, call line $5/mo, voice provider $0.05-0.10/min) not yet reflected in current tiers; must be priced and modeled before launch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Support and account management time as client count scales — not an infra cost, but a real operating cost against margin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FF6B00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Convocore White Label ($200/mo) becomes relevant post 10+ clients — should be modeled as an overhead step-change at that threshold, not before</w:t>
      </w:r>
    </w:p>
    <w:p>
      <w:pPr>
        <w:spacing w:after="160"/>
      </w:pPr>
    </w:p>
    <w:p>
      <w:pPr>
        <w:pBdr>
          <w:top w:val="single" w:color="FF6B00" w:sz="16" w:space="6"/>
        </w:pBdr>
        <w:spacing w:before="100"/>
      </w:pPr>
    </w:p>
    <w:p>
      <w:pPr>
        <w:spacing w:before="100"/>
      </w:pPr>
      <w:r>
        <w:rPr>
          <w:rFonts w:ascii="Calibri" w:cs="Calibri" w:eastAsia="Calibri" w:hAnsi="Calibri"/>
          <w:b/>
          <w:bCs/>
          <w:color w:val="1A2B3C"/>
          <w:sz w:val="22"/>
          <w:szCs w:val="22"/>
        </w:rPr>
        <w:t xml:space="preserve">Bottom line: current pricing carries very high gross margin (94-96%) at every tier and at every client-count stage. The business is not infra-cost-constrained — it is client-acquisition-constrained.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2026-07-21T06:16:23.291Z</dcterms:created>
  <dcterms:modified xsi:type="dcterms:W3CDTF">2026-07-21T06:16:23.305Z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