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80" w:before="0"/>
      </w:pPr>
      <w:r>
        <w:rPr>
          <w:rFonts w:ascii="Arial" w:cs="Arial" w:eastAsia="Arial" w:hAnsi="Arial"/>
          <w:b/>
          <w:bCs/>
          <w:color w:val="0F2A5E"/>
          <w:sz w:val="48"/>
          <w:szCs w:val="48"/>
        </w:rPr>
        <w:t xml:space="preserve">Modular Agent Architecture</w:t>
      </w:r>
    </w:p>
    <w:p>
      <w:pPr>
        <w:pBdr>
          <w:bottom w:val="single" w:color="185FA5" w:sz="6" w:space="6"/>
        </w:pBdr>
        <w:spacing w:after="0" w:before="0"/>
      </w:pPr>
      <w:r>
        <w:rPr>
          <w:rFonts w:ascii="Arial" w:cs="Arial" w:eastAsia="Arial" w:hAnsi="Arial"/>
          <w:color w:val="3D4B6B"/>
          <w:sz w:val="22"/>
          <w:szCs w:val="22"/>
        </w:rPr>
        <w:t xml:space="preserve">Customer Support AI Agent  </w:t>
      </w:r>
      <w:r>
        <w:rPr>
          <w:rFonts w:ascii="Arial" w:cs="Arial" w:eastAsia="Arial" w:hAnsi="Arial"/>
          <w:color w:val="6B7A9A"/>
          <w:sz w:val="22"/>
          <w:szCs w:val="22"/>
        </w:rPr>
        <w:t xml:space="preserve">·  Team Reference  ·  v1.2  ·  ZeroManual  ·  2025</w:t>
      </w:r>
    </w:p>
    <w:p>
      <w:pPr>
        <w:pBdr>
          <w:bottom w:val="single" w:color="185FA5" w:sz="5" w:space="5"/>
        </w:pBdr>
        <w:spacing w:after="160" w:before="300"/>
      </w:pPr>
      <w:r>
        <w:rPr>
          <w:rFonts w:ascii="Arial" w:cs="Arial" w:eastAsia="Arial" w:hAnsi="Arial"/>
          <w:b/>
          <w:bCs/>
          <w:color w:val="185FA5"/>
          <w:spacing w:val="80"/>
          <w:sz w:val="19"/>
          <w:szCs w:val="19"/>
        </w:rPr>
        <w:t xml:space="preserve">WHAT WE'RE BUILDING</w:t>
      </w:r>
    </w:p>
    <w:p>
      <w:pPr>
        <w:spacing w:after="100" w:before="0"/>
      </w:pPr>
      <w:r>
        <w:rPr>
          <w:rFonts w:ascii="Arial" w:cs="Arial" w:eastAsia="Arial" w:hAnsi="Arial"/>
          <w:color w:val="3D4B6B"/>
          <w:sz w:val="20"/>
          <w:szCs w:val="20"/>
        </w:rPr>
        <w:t xml:space="preserve">A composable customer support AI agent built on a reusable add-on library, deployed as a product suite. Channels are managed through ConvoCore — a white-label bridge handling WhatsApp, Instagram, and Facebook Messenger via Meta auth. Clients receive a branded ConvoCore dashboard. Any niche is served. No niche is filtered out.</w:t>
      </w:r>
    </w:p>
    <w:p>
      <w:pPr>
        <w:spacing w:after="100" w:before="0"/>
      </w:pPr>
      <w:r>
        <w:rPr>
          <w:rFonts w:ascii="Arial" w:cs="Arial" w:eastAsia="Arial" w:hAnsi="Arial"/>
          <w:color w:val="3D4B6B"/>
          <w:sz w:val="20"/>
          <w:szCs w:val="20"/>
        </w:rPr>
        <w:t xml:space="preserve">Stack: ConvoCore (channel bridge) + Voiceflow (agent brain) + n8n (integration hub) + supporting services. Email is handled separately through n8n — ConvoCore does not support email.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D9E75" w:sz="14"/>
              <w:bottom w:val="none" w:color="FFFFFF" w:sz="0"/>
              <w:right w:val="none" w:color="FFFFFF" w:sz="0"/>
            </w:tcBorders>
            <w:shd w:fill="E1F5EE" w:val="clear"/>
            <w:tcMar>
              <w:top w:type="dxa" w:w="110"/>
              <w:left w:type="dxa" w:w="200"/>
              <w:bottom w:type="dxa" w:w="110"/>
              <w:right w:type="dxa" w:w="200"/>
            </w:tcMar>
          </w:tcPr>
          <w:p>
            <w:r>
              <w:rPr>
                <w:rFonts w:ascii="Arial" w:cs="Arial" w:eastAsia="Arial" w:hAnsi="Arial"/>
                <w:b/>
                <w:bCs/>
                <w:color w:val="1D9E75"/>
                <w:sz w:val="20"/>
                <w:szCs w:val="20"/>
              </w:rPr>
              <w:t xml:space="preserve">Variable slots: </w:t>
            </w:r>
            <w:r>
              <w:rPr>
                <w:rFonts w:ascii="Arial" w:cs="Arial" w:eastAsia="Arial" w:hAnsi="Arial"/>
                <w:color w:val="3D4B6B"/>
                <w:sz w:val="20"/>
                <w:szCs w:val="20"/>
              </w:rPr>
              <w:t xml:space="preserve">Every capability in the Universal Core and every add-on contains named variable fields (e.g. agent_name, tone, greeting_phrase, active_add_on_list, escalation_contacts). Core logic and flow structure never change per client — only slot values change. Filled at client onboarding.</w:t>
            </w:r>
          </w:p>
        </w:tc>
      </w:tr>
    </w:tbl>
    <w:p>
      <w:pPr>
        <w:pBdr>
          <w:bottom w:val="single" w:color="185FA5" w:sz="5" w:space="5"/>
        </w:pBdr>
        <w:spacing w:after="160" w:before="300"/>
      </w:pPr>
      <w:r>
        <w:rPr>
          <w:rFonts w:ascii="Arial" w:cs="Arial" w:eastAsia="Arial" w:hAnsi="Arial"/>
          <w:b/>
          <w:bCs/>
          <w:color w:val="185FA5"/>
          <w:spacing w:val="80"/>
          <w:sz w:val="19"/>
          <w:szCs w:val="19"/>
        </w:rPr>
        <w:t xml:space="preserve">PRODUCT SUITE</w:t>
      </w:r>
    </w:p>
    <w:p>
      <w:pPr>
        <w:spacing w:after="100" w:before="0"/>
      </w:pPr>
      <w:r>
        <w:rPr>
          <w:rFonts w:ascii="Arial" w:cs="Arial" w:eastAsia="Arial" w:hAnsi="Arial"/>
          <w:color w:val="3D4B6B"/>
          <w:sz w:val="20"/>
          <w:szCs w:val="20"/>
        </w:rPr>
        <w:t xml:space="preserve">The product suite delivers the core agent plus standalone modules. Build planning separates what lives inside the agent from what is built alongside it on shared infrastructure (n8n + Claude API).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85FA5" w:sz="14"/>
              <w:bottom w:val="none" w:color="FFFFFF" w:sz="0"/>
              <w:right w:val="none" w:color="FFFFFF" w:sz="0"/>
            </w:tcBorders>
            <w:shd w:fill="EEF3FB" w:val="clear"/>
            <w:tcMar>
              <w:top w:type="dxa" w:w="110"/>
              <w:left w:type="dxa" w:w="200"/>
              <w:bottom w:type="dxa" w:w="110"/>
              <w:right w:type="dxa" w:w="200"/>
            </w:tcMar>
          </w:tcPr>
          <w:p>
            <w:r>
              <w:rPr>
                <w:rFonts w:ascii="Arial" w:cs="Arial" w:eastAsia="Arial" w:hAnsi="Arial"/>
                <w:b/>
                <w:bCs/>
                <w:color w:val="185FA5"/>
                <w:sz w:val="20"/>
                <w:szCs w:val="20"/>
              </w:rPr>
              <w:t xml:space="preserve">5-day delivery: </w:t>
            </w:r>
            <w:r>
              <w:rPr>
                <w:rFonts w:ascii="Arial" w:cs="Arial" w:eastAsia="Arial" w:hAnsi="Arial"/>
                <w:color w:val="3D4B6B"/>
                <w:sz w:val="20"/>
                <w:szCs w:val="20"/>
              </w:rPr>
              <w:t xml:space="preserve">The modular add-on architecture enables the live-in-5 guarantee. Pre-built Voiceflow templates + ConvoCore Meta auth channel setup = slot-filling and configuration, not custom builds per client.</w:t>
            </w:r>
          </w:p>
        </w:tc>
      </w:tr>
    </w:tbl>
    <w:p>
      <w:pPr>
        <w:spacing w:after="0" w:before="120"/>
      </w:pPr>
      <w:r>
        <w:t xml:space="preserve"/>
      </w:r>
    </w:p>
    <w:p>
      <w:pPr>
        <w:spacing w:after="80" w:before="0"/>
      </w:pPr>
      <w:r>
        <w:rPr>
          <w:rFonts w:ascii="Arial" w:cs="Arial" w:eastAsia="Arial" w:hAnsi="Arial"/>
          <w:b/>
          <w:bCs/>
          <w:color w:val="0F2A5E"/>
          <w:sz w:val="20"/>
          <w:szCs w:val="20"/>
        </w:rPr>
        <w:t xml:space="preserve">Inside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Deliverable</w:t>
            </w:r>
          </w:p>
        </w:tc>
        <w:tc>
          <w:tcPr>
            <w:tcW w:type="dxa" w:w="356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Built as</w:t>
            </w:r>
          </w:p>
        </w:tc>
        <w:tc>
          <w:tcPr>
            <w:tcW w:type="dxa" w:w="34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Notes</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24/7 AI Revenue Agent</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Core Voiceflow agent + full add-on library</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Handles leads, FAQs, support. Delivered via ConvoCore channels.</w:t>
            </w:r>
          </w:p>
        </w:tc>
      </w:tr>
      <w:tr>
        <w:tc>
          <w:tcPr>
            <w:tcW w:type="dxa" w:w="2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Booking Engine (when bundled)</w:t>
            </w:r>
          </w:p>
        </w:tc>
        <w:tc>
          <w:tcPr>
            <w:tcW w:type="dxa" w:w="3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Book Appointment add-on, same agent</w:t>
            </w:r>
          </w:p>
        </w:tc>
        <w:tc>
          <w:tcPr>
            <w:tcW w:type="dxa" w:w="3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No separate build. When client takes both products, this add-on is simply activated.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CRM Auto-Sync</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n8n extension of core Logging</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After every session: n8n writes contact + conversation data to HubSpot, GoHighLevel, Salesforce, or Pipedrive.</w:t>
            </w:r>
          </w:p>
        </w:tc>
      </w:tr>
    </w:tbl>
    <w:p>
      <w:pPr>
        <w:spacing w:after="0" w:before="160"/>
      </w:pPr>
      <w:r>
        <w:t xml:space="preserve"/>
      </w:r>
    </w:p>
    <w:p>
      <w:pPr>
        <w:spacing w:after="80" w:before="0"/>
      </w:pPr>
      <w:r>
        <w:rPr>
          <w:rFonts w:ascii="Arial" w:cs="Arial" w:eastAsia="Arial" w:hAnsi="Arial"/>
          <w:b/>
          <w:bCs/>
          <w:color w:val="085041"/>
          <w:sz w:val="20"/>
          <w:szCs w:val="20"/>
        </w:rPr>
        <w:t xml:space="preserve">Separate modules (built alongside, not inside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D0D8E8" w:sz="1"/>
              <w:left w:val="single" w:color="D0D8E8" w:sz="1"/>
              <w:bottom w:val="single" w:color="0F2A5E" w:sz="4"/>
              <w:right w:val="single" w:color="D0D8E8" w:sz="1"/>
            </w:tcBorders>
            <w:shd w:fill="E1F5EE" w:val="clear"/>
            <w:tcMar>
              <w:top w:type="dxa" w:w="80"/>
              <w:left w:type="dxa" w:w="120"/>
              <w:bottom w:type="dxa" w:w="80"/>
              <w:right w:type="dxa" w:w="80"/>
            </w:tcMar>
          </w:tcPr>
          <w:p>
            <w:r>
              <w:rPr>
                <w:rFonts w:ascii="Arial" w:cs="Arial" w:eastAsia="Arial" w:hAnsi="Arial"/>
                <w:b/>
                <w:bCs/>
                <w:color w:val="085041"/>
                <w:sz w:val="18"/>
                <w:szCs w:val="18"/>
              </w:rPr>
              <w:t xml:space="preserve">Deliverable</w:t>
            </w:r>
          </w:p>
        </w:tc>
        <w:tc>
          <w:tcPr>
            <w:tcW w:type="dxa" w:w="4000"/>
            <w:tcBorders>
              <w:top w:val="single" w:color="D0D8E8" w:sz="1"/>
              <w:left w:val="single" w:color="D0D8E8" w:sz="1"/>
              <w:bottom w:val="single" w:color="0F2A5E" w:sz="4"/>
              <w:right w:val="single" w:color="D0D8E8" w:sz="1"/>
            </w:tcBorders>
            <w:shd w:fill="E1F5EE" w:val="clear"/>
            <w:tcMar>
              <w:top w:type="dxa" w:w="80"/>
              <w:left w:type="dxa" w:w="120"/>
              <w:bottom w:type="dxa" w:w="80"/>
              <w:right w:type="dxa" w:w="80"/>
            </w:tcMar>
          </w:tcPr>
          <w:p>
            <w:r>
              <w:rPr>
                <w:rFonts w:ascii="Arial" w:cs="Arial" w:eastAsia="Arial" w:hAnsi="Arial"/>
                <w:b/>
                <w:bCs/>
                <w:color w:val="085041"/>
                <w:sz w:val="18"/>
                <w:szCs w:val="18"/>
              </w:rPr>
              <w:t xml:space="preserve">What it does</w:t>
            </w:r>
          </w:p>
        </w:tc>
        <w:tc>
          <w:tcPr>
            <w:tcW w:type="dxa" w:w="2760"/>
            <w:tcBorders>
              <w:top w:val="single" w:color="D0D8E8" w:sz="1"/>
              <w:left w:val="single" w:color="D0D8E8" w:sz="1"/>
              <w:bottom w:val="single" w:color="0F2A5E" w:sz="4"/>
              <w:right w:val="single" w:color="D0D8E8" w:sz="1"/>
            </w:tcBorders>
            <w:shd w:fill="E1F5EE" w:val="clear"/>
            <w:tcMar>
              <w:top w:type="dxa" w:w="80"/>
              <w:left w:type="dxa" w:w="120"/>
              <w:bottom w:type="dxa" w:w="80"/>
              <w:right w:type="dxa" w:w="80"/>
            </w:tcMar>
          </w:tcPr>
          <w:p>
            <w:r>
              <w:rPr>
                <w:rFonts w:ascii="Arial" w:cs="Arial" w:eastAsia="Arial" w:hAnsi="Arial"/>
                <w:b/>
                <w:bCs/>
                <w:color w:val="085041"/>
                <w:sz w:val="18"/>
                <w:szCs w:val="18"/>
              </w:rPr>
              <w:t xml:space="preserve">Engine</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Booking Engine (standalone)</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Fixed-sequence flow: capture intent → send calendar link → confirm user + notify team</w:t>
            </w:r>
          </w:p>
        </w:tc>
        <w:tc>
          <w:tcPr>
            <w:tcW w:type="dxa" w:w="2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Voiceflow simple-flow template</w:t>
            </w:r>
          </w:p>
        </w:tc>
      </w:tr>
      <w:tr>
        <w:tc>
          <w:tcPr>
            <w:tcW w:type="dxa" w:w="2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Lead Recovery Engine</w:t>
            </w:r>
          </w:p>
        </w:tc>
        <w:tc>
          <w:tcPr>
            <w:tcW w:type="dxa" w:w="40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Outbound follow-up for unconverted leads, no-shows, and abandoned conversations</w:t>
            </w:r>
          </w:p>
        </w:tc>
        <w:tc>
          <w:tcPr>
            <w:tcW w:type="dxa" w:w="27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n8n scheduled automation</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Email Inbox Manager</w:t>
            </w:r>
          </w:p>
        </w:tc>
        <w:tc>
          <w:tcPr>
            <w:tcW w:type="dxa" w:w="4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Triage inbox, classify intent, draft AI replies, escalate urgent emails</w:t>
            </w:r>
          </w:p>
        </w:tc>
        <w:tc>
          <w:tcPr>
            <w:tcW w:type="dxa" w:w="2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n8n + Claude API</w:t>
            </w:r>
          </w:p>
        </w:tc>
      </w:tr>
      <w:tr>
        <w:tc>
          <w:tcPr>
            <w:tcW w:type="dxa" w:w="2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Revenue Dashboard</w:t>
            </w:r>
          </w:p>
        </w:tc>
        <w:tc>
          <w:tcPr>
            <w:tcW w:type="dxa" w:w="40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Daily morning digest: leads, bookings, CSAT scores, revenue flags</w:t>
            </w:r>
          </w:p>
        </w:tc>
        <w:tc>
          <w:tcPr>
            <w:tcW w:type="dxa" w:w="27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n8n + Google Sheets + Looker Studio</w:t>
            </w:r>
          </w:p>
        </w:tc>
      </w:tr>
    </w:tbl>
    <w:p>
      <w:pPr>
        <w:pBdr>
          <w:bottom w:val="single" w:color="185FA5" w:sz="5" w:space="5"/>
        </w:pBdr>
        <w:spacing w:after="160" w:before="300"/>
      </w:pPr>
      <w:r>
        <w:rPr>
          <w:rFonts w:ascii="Arial" w:cs="Arial" w:eastAsia="Arial" w:hAnsi="Arial"/>
          <w:b/>
          <w:bCs/>
          <w:color w:val="185FA5"/>
          <w:spacing w:val="80"/>
          <w:sz w:val="19"/>
          <w:szCs w:val="19"/>
        </w:rPr>
        <w:t xml:space="preserve">THE 3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60"/>
        <w:gridCol w:w="4400"/>
        <w:gridCol w:w="3000"/>
      </w:tblGrid>
      <w:tr>
        <w:tc>
          <w:tcPr>
            <w:tcW w:type="dxa" w:w="4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Layer</w:t>
            </w:r>
          </w:p>
        </w:tc>
        <w:tc>
          <w:tcPr>
            <w:tcW w:type="dxa" w:w="156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Name</w:t>
            </w:r>
          </w:p>
        </w:tc>
        <w:tc>
          <w:tcPr>
            <w:tcW w:type="dxa" w:w="44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What it is</w:t>
            </w:r>
          </w:p>
        </w:tc>
        <w:tc>
          <w:tcPr>
            <w:tcW w:type="dxa" w:w="30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Who touches it</w:t>
            </w:r>
          </w:p>
        </w:tc>
      </w:tr>
      <w:tr>
        <w:tc>
          <w:tcPr>
            <w:tcW w:type="dxa" w:w="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3</w:t>
            </w:r>
          </w:p>
        </w:tc>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Client bundle</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Selected add-ons + personalization for one specific client</w:t>
            </w:r>
          </w:p>
        </w:tc>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You + client (at onboarding)</w:t>
            </w:r>
          </w:p>
        </w:tc>
      </w:tr>
      <w:tr>
        <w:tc>
          <w:tcPr>
            <w:tcW w:type="dxa" w:w="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2</w:t>
            </w:r>
          </w:p>
        </w:tc>
        <w:tc>
          <w:tcPr>
            <w:tcW w:type="dxa" w:w="1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Add-on library</w:t>
            </w:r>
          </w:p>
        </w:tc>
        <w:tc>
          <w:tcPr>
            <w:tcW w:type="dxa" w:w="4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All add-ons organized by task type. Built once, reused for every client</w:t>
            </w:r>
          </w:p>
        </w:tc>
        <w:tc>
          <w:tcPr>
            <w:tcW w:type="dxa" w:w="30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Builders (you)</w:t>
            </w:r>
          </w:p>
        </w:tc>
      </w:tr>
      <w:tr>
        <w:tc>
          <w:tcPr>
            <w:tcW w:type="dxa" w:w="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1</w:t>
            </w:r>
          </w:p>
        </w:tc>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Universal core</w:t>
            </w:r>
          </w:p>
        </w:tc>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6 core capabilities always active. Same for every agent, every client</w:t>
            </w:r>
          </w:p>
        </w:tc>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Builders — built first, never modified per client</w:t>
            </w:r>
          </w:p>
        </w:tc>
      </w:tr>
    </w:tbl>
    <w:p>
      <w:pPr>
        <w:pBdr>
          <w:bottom w:val="single" w:color="185FA5" w:sz="5" w:space="5"/>
        </w:pBdr>
        <w:spacing w:after="160" w:before="300"/>
      </w:pPr>
      <w:r>
        <w:rPr>
          <w:rFonts w:ascii="Arial" w:cs="Arial" w:eastAsia="Arial" w:hAnsi="Arial"/>
          <w:b/>
          <w:bCs/>
          <w:color w:val="185FA5"/>
          <w:spacing w:val="80"/>
          <w:sz w:val="19"/>
          <w:szCs w:val="19"/>
        </w:rPr>
        <w:t xml:space="preserve">THE 5 TASK TYPES</w:t>
      </w:r>
    </w:p>
    <w:p>
      <w:pPr>
        <w:spacing w:after="100" w:before="0"/>
      </w:pPr>
      <w:r>
        <w:rPr>
          <w:rFonts w:ascii="Arial" w:cs="Arial" w:eastAsia="Arial" w:hAnsi="Arial"/>
          <w:color w:val="3D4B6B"/>
          <w:sz w:val="20"/>
          <w:szCs w:val="20"/>
        </w:rPr>
        <w:t xml:space="preserve">Every add-on belongs to exactly one task type. These 5 types exist in every niche — they are the common denominator that makes the library work across all industries.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80"/>
        <w:gridCol w:w="4120"/>
      </w:tblGrid>
      <w:tr>
        <w:tc>
          <w:tcPr>
            <w:tcW w:type="dxa" w:w="1560"/>
            <w:tcBorders>
              <w:top w:val="single" w:color="D0D8E8" w:sz="1"/>
              <w:left w:val="single" w:color="D0D8E8" w:sz="1"/>
              <w:bottom w:val="single" w:color="0F2A5E" w:sz="4"/>
              <w:right w:val="single" w:color="D0D8E8" w:sz="1"/>
            </w:tcBorders>
            <w:shd w:fill="E1F5EE" w:val="clear"/>
            <w:tcMar>
              <w:top w:type="dxa" w:w="80"/>
              <w:left w:type="dxa" w:w="120"/>
              <w:bottom w:type="dxa" w:w="80"/>
              <w:right w:type="dxa" w:w="80"/>
            </w:tcMar>
          </w:tcPr>
          <w:p>
            <w:r>
              <w:rPr>
                <w:rFonts w:ascii="Arial" w:cs="Arial" w:eastAsia="Arial" w:hAnsi="Arial"/>
                <w:b/>
                <w:bCs/>
                <w:color w:val="085041"/>
                <w:sz w:val="18"/>
                <w:szCs w:val="18"/>
              </w:rPr>
              <w:t xml:space="preserve">Task type</w:t>
            </w:r>
          </w:p>
        </w:tc>
        <w:tc>
          <w:tcPr>
            <w:tcW w:type="dxa" w:w="3680"/>
            <w:tcBorders>
              <w:top w:val="single" w:color="D0D8E8" w:sz="1"/>
              <w:left w:val="single" w:color="D0D8E8" w:sz="1"/>
              <w:bottom w:val="single" w:color="0F2A5E" w:sz="4"/>
              <w:right w:val="single" w:color="D0D8E8" w:sz="1"/>
            </w:tcBorders>
            <w:shd w:fill="E1F5EE" w:val="clear"/>
            <w:tcMar>
              <w:top w:type="dxa" w:w="80"/>
              <w:left w:type="dxa" w:w="120"/>
              <w:bottom w:type="dxa" w:w="80"/>
              <w:right w:type="dxa" w:w="80"/>
            </w:tcMar>
          </w:tcPr>
          <w:p>
            <w:r>
              <w:rPr>
                <w:rFonts w:ascii="Arial" w:cs="Arial" w:eastAsia="Arial" w:hAnsi="Arial"/>
                <w:b/>
                <w:bCs/>
                <w:color w:val="085041"/>
                <w:sz w:val="18"/>
                <w:szCs w:val="18"/>
              </w:rPr>
              <w:t xml:space="preserve">Definition</w:t>
            </w:r>
          </w:p>
        </w:tc>
        <w:tc>
          <w:tcPr>
            <w:tcW w:type="dxa" w:w="4120"/>
            <w:tcBorders>
              <w:top w:val="single" w:color="D0D8E8" w:sz="1"/>
              <w:left w:val="single" w:color="D0D8E8" w:sz="1"/>
              <w:bottom w:val="single" w:color="0F2A5E" w:sz="4"/>
              <w:right w:val="single" w:color="D0D8E8" w:sz="1"/>
            </w:tcBorders>
            <w:shd w:fill="E1F5EE" w:val="clear"/>
            <w:tcMar>
              <w:top w:type="dxa" w:w="80"/>
              <w:left w:type="dxa" w:w="120"/>
              <w:bottom w:type="dxa" w:w="80"/>
              <w:right w:type="dxa" w:w="80"/>
            </w:tcMar>
          </w:tcPr>
          <w:p>
            <w:r>
              <w:rPr>
                <w:rFonts w:ascii="Arial" w:cs="Arial" w:eastAsia="Arial" w:hAnsi="Arial"/>
                <w:b/>
                <w:bCs/>
                <w:color w:val="085041"/>
                <w:sz w:val="18"/>
                <w:szCs w:val="18"/>
              </w:rPr>
              <w:t xml:space="preserve">Example add-ons</w:t>
            </w:r>
          </w:p>
        </w:tc>
      </w:tr>
      <w:tr>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Lookup</w:t>
            </w:r>
          </w:p>
        </w:tc>
        <w:tc>
          <w:tcPr>
            <w:tcW w:type="dxa" w:w="36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Read data from a system and report it to the customer</w:t>
            </w:r>
          </w:p>
        </w:tc>
        <w:tc>
          <w:tcPr>
            <w:tcW w:type="dxa" w:w="41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Order status, Booking status, Stock check</w:t>
            </w:r>
          </w:p>
        </w:tc>
      </w:tr>
      <w:tr>
        <w:tc>
          <w:tcPr>
            <w:tcW w:type="dxa" w:w="1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Action</w:t>
            </w:r>
          </w:p>
        </w:tc>
        <w:tc>
          <w:tcPr>
            <w:tcW w:type="dxa" w:w="36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Execute a task or write to an external system</w:t>
            </w:r>
          </w:p>
        </w:tc>
        <w:tc>
          <w:tcPr>
            <w:tcW w:type="dxa" w:w="41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Refund initiate, Book appointment, Cancel request</w:t>
            </w:r>
          </w:p>
        </w:tc>
      </w:tr>
      <w:tr>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Info</w:t>
            </w:r>
          </w:p>
        </w:tc>
        <w:tc>
          <w:tcPr>
            <w:tcW w:type="dxa" w:w="36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Answer a question from the knowledge base</w:t>
            </w:r>
          </w:p>
        </w:tc>
        <w:tc>
          <w:tcPr>
            <w:tcW w:type="dxa" w:w="41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FAQ answer, Policy lookup, Product info, Service guide</w:t>
            </w:r>
          </w:p>
        </w:tc>
      </w:tr>
      <w:tr>
        <w:tc>
          <w:tcPr>
            <w:tcW w:type="dxa" w:w="1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Lead capture</w:t>
            </w:r>
          </w:p>
        </w:tc>
        <w:tc>
          <w:tcPr>
            <w:tcW w:type="dxa" w:w="36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Collect customer information for follow-up</w:t>
            </w:r>
          </w:p>
        </w:tc>
        <w:tc>
          <w:tcPr>
            <w:tcW w:type="dxa" w:w="41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Quote request, Contact form, Service enquiry</w:t>
            </w:r>
          </w:p>
        </w:tc>
      </w:tr>
      <w:tr>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Escalation</w:t>
            </w:r>
          </w:p>
        </w:tc>
        <w:tc>
          <w:tcPr>
            <w:tcW w:type="dxa" w:w="36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Route to a human or flag urgency</w:t>
            </w:r>
          </w:p>
        </w:tc>
        <w:tc>
          <w:tcPr>
            <w:tcW w:type="dxa" w:w="41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Complaint log, Human handoff, Urgent flag</w:t>
            </w:r>
          </w:p>
        </w:tc>
      </w:tr>
    </w:tbl>
    <w:p>
      <w:pPr>
        <w:pBdr>
          <w:bottom w:val="single" w:color="185FA5" w:sz="5" w:space="5"/>
        </w:pBdr>
        <w:spacing w:after="160" w:before="300"/>
      </w:pPr>
      <w:r>
        <w:rPr>
          <w:rFonts w:ascii="Arial" w:cs="Arial" w:eastAsia="Arial" w:hAnsi="Arial"/>
          <w:b/>
          <w:bCs/>
          <w:color w:val="185FA5"/>
          <w:spacing w:val="80"/>
          <w:sz w:val="19"/>
          <w:szCs w:val="19"/>
        </w:rPr>
        <w:t xml:space="preserve">THE 4 NICHE CLUSTERS</w:t>
      </w:r>
    </w:p>
    <w:p>
      <w:pPr>
        <w:spacing w:after="100" w:before="0"/>
      </w:pPr>
      <w:r>
        <w:rPr>
          <w:rFonts w:ascii="Arial" w:cs="Arial" w:eastAsia="Arial" w:hAnsi="Arial"/>
          <w:color w:val="3D4B6B"/>
          <w:sz w:val="20"/>
          <w:szCs w:val="20"/>
        </w:rPr>
        <w:t xml:space="preserve">Every niche — current or future — maps to exactly one cluster based on its dominant support task pattern. Build per cluster (70–80% of add-ons shared within a cluster). To place any new niche, read the 'Add here if' condition in the table below.</w:t>
      </w:r>
    </w:p>
    <w:p>
      <w:pPr>
        <w:spacing w:after="100" w:before="0"/>
      </w:pPr>
      <w:r>
        <w:rPr>
          <w:rFonts w:ascii="Arial" w:cs="Arial" w:eastAsia="Arial" w:hAnsi="Arial"/>
          <w:color w:val="3D4B6B"/>
          <w:sz w:val="20"/>
          <w:szCs w:val="20"/>
        </w:rPr>
        <w:t xml:space="preserve">Build order: C1 + C3 in parallel first  ·  C2 second  ·  C4 third  ·  All 4 complete before production launch.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85041" w:sz="14"/>
              <w:bottom w:val="none" w:color="FFFFFF" w:sz="0"/>
              <w:right w:val="none" w:color="FFFFFF" w:sz="0"/>
            </w:tcBorders>
            <w:shd w:fill="E2F5EC" w:val="clear"/>
            <w:tcMar>
              <w:top w:type="dxa" w:w="110"/>
              <w:left w:type="dxa" w:w="200"/>
              <w:bottom w:type="dxa" w:w="110"/>
              <w:right w:type="dxa" w:w="200"/>
            </w:tcMar>
          </w:tcPr>
          <w:p>
            <w:r>
              <w:rPr>
                <w:rFonts w:ascii="Arial" w:cs="Arial" w:eastAsia="Arial" w:hAnsi="Arial"/>
                <w:b/>
                <w:bCs/>
                <w:color w:val="085041"/>
                <w:sz w:val="20"/>
                <w:szCs w:val="20"/>
              </w:rPr>
              <w:t xml:space="preserve">Phase 1 ★: </w:t>
            </w:r>
            <w:r>
              <w:rPr>
                <w:rFonts w:ascii="Arial" w:cs="Arial" w:eastAsia="Arial" w:hAnsi="Arial"/>
                <w:color w:val="3D4B6B"/>
                <w:sz w:val="20"/>
                <w:szCs w:val="20"/>
              </w:rPr>
              <w:t xml:space="preserve">The 12 niches marked in the green column are the immediate build targets — ad campaigns are already running for these. Always complete Phase 1 niches within a cluster before adding others from that cluster.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0D8E8" w:sz="1"/>
              <w:left w:val="single" w:color="D0D8E8" w:sz="1"/>
              <w:bottom w:val="single" w:color="0F2A5E" w:sz="4"/>
              <w:right w:val="single" w:color="D0D8E8" w:sz="1"/>
            </w:tcBorders>
            <w:shd w:fill="EEF3FB" w:val="clear"/>
            <w:tcMar>
              <w:top w:type="dxa" w:w="80"/>
              <w:left w:type="dxa" w:w="140"/>
              <w:bottom w:type="dxa" w:w="80"/>
              <w:right w:type="dxa" w:w="120"/>
            </w:tcMar>
          </w:tcPr>
          <w:p>
            <w:r>
              <w:rPr>
                <w:rFonts w:ascii="Arial" w:cs="Arial" w:eastAsia="Arial" w:hAnsi="Arial"/>
                <w:b/>
                <w:bCs/>
                <w:color w:val="0F2A5E"/>
                <w:sz w:val="18"/>
                <w:szCs w:val="18"/>
              </w:rPr>
              <w:t xml:space="preserve">Cluster  —  add new niches here if...</w:t>
            </w:r>
          </w:p>
        </w:tc>
        <w:tc>
          <w:tcPr>
            <w:tcW w:type="dxa" w:w="3000"/>
            <w:tcBorders>
              <w:top w:val="single" w:color="D0D8E8" w:sz="1"/>
              <w:left w:val="single" w:color="D0D8E8" w:sz="1"/>
              <w:bottom w:val="single" w:color="0F2A5E" w:sz="4"/>
              <w:right w:val="single" w:color="D0D8E8" w:sz="1"/>
            </w:tcBorders>
            <w:shd w:fill="E1F5EE" w:val="clear"/>
            <w:tcMar>
              <w:top w:type="dxa" w:w="80"/>
              <w:left w:type="dxa" w:w="140"/>
              <w:bottom w:type="dxa" w:w="80"/>
              <w:right w:type="dxa" w:w="120"/>
            </w:tcMar>
          </w:tcPr>
          <w:p>
            <w:r>
              <w:rPr>
                <w:rFonts w:ascii="Arial" w:cs="Arial" w:eastAsia="Arial" w:hAnsi="Arial"/>
                <w:b/>
                <w:bCs/>
                <w:color w:val="085041"/>
                <w:sz w:val="18"/>
                <w:szCs w:val="18"/>
              </w:rPr>
              <w:t xml:space="preserve">Phase 1  ★  (12 niches, build now)</w:t>
            </w:r>
          </w:p>
        </w:tc>
        <w:tc>
          <w:tcPr>
            <w:tcW w:type="dxa" w:w="3160"/>
            <w:tcBorders>
              <w:top w:val="single" w:color="D0D8E8" w:sz="1"/>
              <w:left w:val="single" w:color="D0D8E8" w:sz="1"/>
              <w:bottom w:val="single" w:color="0F2A5E" w:sz="4"/>
              <w:right w:val="single" w:color="D0D8E8" w:sz="1"/>
            </w:tcBorders>
            <w:shd w:fill="EEF3FB" w:val="clear"/>
            <w:tcMar>
              <w:top w:type="dxa" w:w="80"/>
              <w:left w:type="dxa" w:w="140"/>
              <w:bottom w:type="dxa" w:w="80"/>
              <w:right w:type="dxa" w:w="120"/>
            </w:tcMar>
          </w:tcPr>
          <w:p>
            <w:r>
              <w:rPr>
                <w:rFonts w:ascii="Arial" w:cs="Arial" w:eastAsia="Arial" w:hAnsi="Arial"/>
                <w:b/>
                <w:bCs/>
                <w:color w:val="0F2A5E"/>
                <w:sz w:val="18"/>
                <w:szCs w:val="18"/>
              </w:rPr>
              <w:t xml:space="preserve">Future expansion</w:t>
            </w:r>
          </w:p>
        </w:tc>
      </w:tr>
      <w:tr>
        <w:tc>
          <w:tcPr>
            <w:tcW w:type="dxa" w:w="3200"/>
            <w:tcBorders>
              <w:top w:val="single" w:color="D0D8E8" w:sz="1"/>
              <w:left w:val="single" w:color="D0D8E8" w:sz="1"/>
              <w:bottom w:val="single" w:color="D0D8E8" w:sz="1"/>
              <w:right w:val="single" w:color="D0D8E8" w:sz="1"/>
            </w:tcBorders>
            <w:shd w:fill="FAFAFA" w:val="clear"/>
            <w:tcMar>
              <w:top w:type="dxa" w:w="100"/>
              <w:left w:type="dxa" w:w="140"/>
              <w:bottom w:type="dxa" w:w="100"/>
              <w:right w:type="dxa" w:w="120"/>
            </w:tcMar>
          </w:tcPr>
          <w:p>
            <w:pPr>
              <w:spacing w:after="40" w:before="0"/>
            </w:pPr>
            <w:r>
              <w:rPr>
                <w:rFonts w:ascii="Arial" w:cs="Arial" w:eastAsia="Arial" w:hAnsi="Arial"/>
                <w:b/>
                <w:bCs/>
                <w:color w:val="1A1A2E"/>
                <w:sz w:val="20"/>
                <w:szCs w:val="20"/>
              </w:rPr>
              <w:t xml:space="preserve">Appointment &amp; Booking</w:t>
            </w:r>
            <w:r>
              <w:rPr>
                <w:rFonts w:ascii="Arial" w:cs="Arial" w:eastAsia="Arial" w:hAnsi="Arial"/>
                <w:color w:val="1D9E75"/>
                <w:sz w:val="16"/>
                <w:szCs w:val="16"/>
              </w:rPr>
              <w:t xml:space="preserve">  Build 1st</w:t>
            </w:r>
          </w:p>
          <w:p>
            <w:pPr>
              <w:spacing w:after="0" w:before="0"/>
            </w:pPr>
            <w:r>
              <w:rPr>
                <w:rFonts w:ascii="Arial" w:cs="Arial" w:eastAsia="Arial" w:hAnsi="Arial"/>
                <w:i/>
                <w:iCs/>
                <w:color w:val="6B7A9A"/>
                <w:sz w:val="16"/>
                <w:szCs w:val="16"/>
              </w:rPr>
              <w:t xml:space="preserve">Add here if: core support = booking, scheduling, or availability</w:t>
            </w:r>
          </w:p>
        </w:tc>
        <w:tc>
          <w:tcPr>
            <w:tcW w:type="dxa" w:w="3000"/>
            <w:tcBorders>
              <w:top w:val="single" w:color="D0D8E8" w:sz="1"/>
              <w:left w:val="single" w:color="D0D8E8" w:sz="1"/>
              <w:bottom w:val="single" w:color="D0D8E8" w:sz="1"/>
              <w:right w:val="single" w:color="D0D8E8" w:sz="1"/>
            </w:tcBorders>
            <w:shd w:fill="E2F5EC" w:val="clear"/>
            <w:tcMar>
              <w:top w:type="dxa" w:w="100"/>
              <w:left w:type="dxa" w:w="140"/>
              <w:bottom w:type="dxa" w:w="100"/>
              <w:right w:type="dxa" w:w="120"/>
            </w:tcMar>
          </w:tcPr>
          <w:p>
            <w:pPr>
              <w:spacing w:after="28" w:before="0"/>
            </w:pPr>
            <w:r>
              <w:rPr>
                <w:rFonts w:ascii="Arial" w:cs="Arial" w:eastAsia="Arial" w:hAnsi="Arial"/>
                <w:b/>
                <w:bCs/>
                <w:color w:val="085041"/>
                <w:sz w:val="18"/>
                <w:szCs w:val="18"/>
              </w:rPr>
              <w:t xml:space="preserve">Restaurant</w:t>
            </w:r>
          </w:p>
          <w:p>
            <w:pPr>
              <w:spacing w:after="28" w:before="0"/>
            </w:pPr>
            <w:r>
              <w:rPr>
                <w:rFonts w:ascii="Arial" w:cs="Arial" w:eastAsia="Arial" w:hAnsi="Arial"/>
                <w:b/>
                <w:bCs/>
                <w:color w:val="085041"/>
                <w:sz w:val="18"/>
                <w:szCs w:val="18"/>
              </w:rPr>
              <w:t xml:space="preserve">Salon</w:t>
            </w:r>
          </w:p>
          <w:p>
            <w:pPr>
              <w:spacing w:after="28" w:before="0"/>
            </w:pPr>
            <w:r>
              <w:rPr>
                <w:rFonts w:ascii="Arial" w:cs="Arial" w:eastAsia="Arial" w:hAnsi="Arial"/>
                <w:b/>
                <w:bCs/>
                <w:color w:val="085041"/>
                <w:sz w:val="18"/>
                <w:szCs w:val="18"/>
              </w:rPr>
              <w:t xml:space="preserve">Spa</w:t>
            </w:r>
          </w:p>
          <w:p>
            <w:pPr>
              <w:spacing w:after="28" w:before="0"/>
            </w:pPr>
            <w:r>
              <w:rPr>
                <w:rFonts w:ascii="Arial" w:cs="Arial" w:eastAsia="Arial" w:hAnsi="Arial"/>
                <w:b/>
                <w:bCs/>
                <w:color w:val="085041"/>
                <w:sz w:val="18"/>
                <w:szCs w:val="18"/>
              </w:rPr>
              <w:t xml:space="preserve">Gym</w:t>
            </w:r>
          </w:p>
          <w:p>
            <w:pPr>
              <w:spacing w:after="28" w:before="0"/>
            </w:pPr>
            <w:r>
              <w:rPr>
                <w:rFonts w:ascii="Arial" w:cs="Arial" w:eastAsia="Arial" w:hAnsi="Arial"/>
                <w:b/>
                <w:bCs/>
                <w:color w:val="085041"/>
                <w:sz w:val="18"/>
                <w:szCs w:val="18"/>
              </w:rPr>
              <w:t xml:space="preserve">Travel agency</w:t>
            </w:r>
          </w:p>
        </w:tc>
        <w:tc>
          <w:tcPr>
            <w:tcW w:type="dxa" w:w="3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20"/>
            </w:tcMar>
          </w:tcPr>
          <w:p>
            <w:pPr>
              <w:spacing w:after="28" w:before="0"/>
            </w:pPr>
            <w:r>
              <w:rPr>
                <w:rFonts w:ascii="Arial" w:cs="Arial" w:eastAsia="Arial" w:hAnsi="Arial"/>
                <w:color w:val="6B7A9A"/>
                <w:sz w:val="17"/>
                <w:szCs w:val="17"/>
              </w:rPr>
              <w:t xml:space="preserve">Healthcare</w:t>
            </w:r>
          </w:p>
          <w:p>
            <w:pPr>
              <w:spacing w:after="28" w:before="0"/>
            </w:pPr>
            <w:r>
              <w:rPr>
                <w:rFonts w:ascii="Arial" w:cs="Arial" w:eastAsia="Arial" w:hAnsi="Arial"/>
                <w:color w:val="6B7A9A"/>
                <w:sz w:val="17"/>
                <w:szCs w:val="17"/>
              </w:rPr>
              <w:t xml:space="preserve">Hospitality</w:t>
            </w:r>
          </w:p>
          <w:p>
            <w:pPr>
              <w:spacing w:after="28" w:before="0"/>
            </w:pPr>
            <w:r>
              <w:rPr>
                <w:rFonts w:ascii="Arial" w:cs="Arial" w:eastAsia="Arial" w:hAnsi="Arial"/>
                <w:color w:val="6B7A9A"/>
                <w:sz w:val="17"/>
                <w:szCs w:val="17"/>
              </w:rPr>
              <w:t xml:space="preserve">Real estate</w:t>
            </w:r>
          </w:p>
        </w:tc>
      </w:tr>
      <w:tr>
        <w:tc>
          <w:tcPr>
            <w:tcW w:type="dxa" w:w="3200"/>
            <w:tcBorders>
              <w:top w:val="single" w:color="D0D8E8" w:sz="1"/>
              <w:left w:val="single" w:color="D0D8E8" w:sz="1"/>
              <w:bottom w:val="single" w:color="D0D8E8" w:sz="1"/>
              <w:right w:val="single" w:color="D0D8E8" w:sz="1"/>
            </w:tcBorders>
            <w:shd w:fill="FAFAFA" w:val="clear"/>
            <w:tcMar>
              <w:top w:type="dxa" w:w="100"/>
              <w:left w:type="dxa" w:w="140"/>
              <w:bottom w:type="dxa" w:w="100"/>
              <w:right w:type="dxa" w:w="120"/>
            </w:tcMar>
          </w:tcPr>
          <w:p>
            <w:pPr>
              <w:spacing w:after="40" w:before="0"/>
            </w:pPr>
            <w:r>
              <w:rPr>
                <w:rFonts w:ascii="Arial" w:cs="Arial" w:eastAsia="Arial" w:hAnsi="Arial"/>
                <w:b/>
                <w:bCs/>
                <w:color w:val="1A1A2E"/>
                <w:sz w:val="20"/>
                <w:szCs w:val="20"/>
              </w:rPr>
              <w:t xml:space="preserve">Trade &amp; Professional</w:t>
            </w:r>
            <w:r>
              <w:rPr>
                <w:rFonts w:ascii="Arial" w:cs="Arial" w:eastAsia="Arial" w:hAnsi="Arial"/>
                <w:color w:val="1D9E75"/>
                <w:sz w:val="16"/>
                <w:szCs w:val="16"/>
              </w:rPr>
              <w:t xml:space="preserve">  Build 2nd</w:t>
            </w:r>
          </w:p>
          <w:p>
            <w:pPr>
              <w:spacing w:after="0" w:before="0"/>
            </w:pPr>
            <w:r>
              <w:rPr>
                <w:rFonts w:ascii="Arial" w:cs="Arial" w:eastAsia="Arial" w:hAnsi="Arial"/>
                <w:i/>
                <w:iCs/>
                <w:color w:val="6B7A9A"/>
                <w:sz w:val="16"/>
                <w:szCs w:val="16"/>
              </w:rPr>
              <w:t xml:space="preserve">Add here if: core support = inquiries, quotes, or consulting</w:t>
            </w:r>
          </w:p>
        </w:tc>
        <w:tc>
          <w:tcPr>
            <w:tcW w:type="dxa" w:w="3000"/>
            <w:tcBorders>
              <w:top w:val="single" w:color="D0D8E8" w:sz="1"/>
              <w:left w:val="single" w:color="D0D8E8" w:sz="1"/>
              <w:bottom w:val="single" w:color="D0D8E8" w:sz="1"/>
              <w:right w:val="single" w:color="D0D8E8" w:sz="1"/>
            </w:tcBorders>
            <w:shd w:fill="E2F5EC" w:val="clear"/>
            <w:tcMar>
              <w:top w:type="dxa" w:w="100"/>
              <w:left w:type="dxa" w:w="140"/>
              <w:bottom w:type="dxa" w:w="100"/>
              <w:right w:type="dxa" w:w="120"/>
            </w:tcMar>
          </w:tcPr>
          <w:p>
            <w:pPr>
              <w:spacing w:after="28" w:before="0"/>
            </w:pPr>
            <w:r>
              <w:rPr>
                <w:rFonts w:ascii="Arial" w:cs="Arial" w:eastAsia="Arial" w:hAnsi="Arial"/>
                <w:b/>
                <w:bCs/>
                <w:color w:val="085041"/>
                <w:sz w:val="18"/>
                <w:szCs w:val="18"/>
              </w:rPr>
              <w:t xml:space="preserve">Roofing</w:t>
            </w:r>
          </w:p>
          <w:p>
            <w:pPr>
              <w:spacing w:after="28" w:before="0"/>
            </w:pPr>
            <w:r>
              <w:rPr>
                <w:rFonts w:ascii="Arial" w:cs="Arial" w:eastAsia="Arial" w:hAnsi="Arial"/>
                <w:b/>
                <w:bCs/>
                <w:color w:val="085041"/>
                <w:sz w:val="18"/>
                <w:szCs w:val="18"/>
              </w:rPr>
              <w:t xml:space="preserve">Plumbing</w:t>
            </w:r>
          </w:p>
          <w:p>
            <w:pPr>
              <w:spacing w:after="28" w:before="0"/>
            </w:pPr>
            <w:r>
              <w:rPr>
                <w:rFonts w:ascii="Arial" w:cs="Arial" w:eastAsia="Arial" w:hAnsi="Arial"/>
                <w:b/>
                <w:bCs/>
                <w:color w:val="085041"/>
                <w:sz w:val="18"/>
                <w:szCs w:val="18"/>
              </w:rPr>
              <w:t xml:space="preserve">Electrician</w:t>
            </w:r>
          </w:p>
          <w:p>
            <w:pPr>
              <w:spacing w:after="28" w:before="0"/>
            </w:pPr>
            <w:r>
              <w:rPr>
                <w:rFonts w:ascii="Arial" w:cs="Arial" w:eastAsia="Arial" w:hAnsi="Arial"/>
                <w:b/>
                <w:bCs/>
                <w:color w:val="085041"/>
                <w:sz w:val="18"/>
                <w:szCs w:val="18"/>
              </w:rPr>
              <w:t xml:space="preserve">Cleaning</w:t>
            </w:r>
          </w:p>
          <w:p>
            <w:pPr>
              <w:spacing w:after="28" w:before="0"/>
            </w:pPr>
            <w:r>
              <w:rPr>
                <w:rFonts w:ascii="Arial" w:cs="Arial" w:eastAsia="Arial" w:hAnsi="Arial"/>
                <w:b/>
                <w:bCs/>
                <w:color w:val="085041"/>
                <w:sz w:val="18"/>
                <w:szCs w:val="18"/>
              </w:rPr>
              <w:t xml:space="preserve">Marketing agency</w:t>
            </w:r>
          </w:p>
          <w:p>
            <w:pPr>
              <w:spacing w:after="28" w:before="0"/>
            </w:pPr>
            <w:r>
              <w:rPr>
                <w:rFonts w:ascii="Arial" w:cs="Arial" w:eastAsia="Arial" w:hAnsi="Arial"/>
                <w:b/>
                <w:bCs/>
                <w:color w:val="085041"/>
                <w:sz w:val="18"/>
                <w:szCs w:val="18"/>
              </w:rPr>
              <w:t xml:space="preserve">NGO</w:t>
            </w:r>
          </w:p>
        </w:tc>
        <w:tc>
          <w:tcPr>
            <w:tcW w:type="dxa" w:w="3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20"/>
            </w:tcMar>
          </w:tcPr>
          <w:p>
            <w:pPr>
              <w:spacing w:after="28" w:before="0"/>
            </w:pPr>
            <w:r>
              <w:rPr>
                <w:rFonts w:ascii="Arial" w:cs="Arial" w:eastAsia="Arial" w:hAnsi="Arial"/>
                <w:color w:val="6B7A9A"/>
                <w:sz w:val="17"/>
                <w:szCs w:val="17"/>
              </w:rPr>
              <w:t xml:space="preserve">Legal</w:t>
            </w:r>
          </w:p>
          <w:p>
            <w:pPr>
              <w:spacing w:after="28" w:before="0"/>
            </w:pPr>
            <w:r>
              <w:rPr>
                <w:rFonts w:ascii="Arial" w:cs="Arial" w:eastAsia="Arial" w:hAnsi="Arial"/>
                <w:color w:val="6B7A9A"/>
                <w:sz w:val="17"/>
                <w:szCs w:val="17"/>
              </w:rPr>
              <w:t xml:space="preserve">Manufacturing</w:t>
            </w:r>
          </w:p>
        </w:tc>
      </w:tr>
      <w:tr>
        <w:tc>
          <w:tcPr>
            <w:tcW w:type="dxa" w:w="3200"/>
            <w:tcBorders>
              <w:top w:val="single" w:color="D0D8E8" w:sz="1"/>
              <w:left w:val="single" w:color="D0D8E8" w:sz="1"/>
              <w:bottom w:val="single" w:color="D0D8E8" w:sz="1"/>
              <w:right w:val="single" w:color="D0D8E8" w:sz="1"/>
            </w:tcBorders>
            <w:shd w:fill="FAFAFA" w:val="clear"/>
            <w:tcMar>
              <w:top w:type="dxa" w:w="100"/>
              <w:left w:type="dxa" w:w="140"/>
              <w:bottom w:type="dxa" w:w="100"/>
              <w:right w:type="dxa" w:w="120"/>
            </w:tcMar>
          </w:tcPr>
          <w:p>
            <w:pPr>
              <w:spacing w:after="40" w:before="0"/>
            </w:pPr>
            <w:r>
              <w:rPr>
                <w:rFonts w:ascii="Arial" w:cs="Arial" w:eastAsia="Arial" w:hAnsi="Arial"/>
                <w:b/>
                <w:bCs/>
                <w:color w:val="1A1A2E"/>
                <w:sz w:val="20"/>
                <w:szCs w:val="20"/>
              </w:rPr>
              <w:t xml:space="preserve">Commerce &amp; Logistics</w:t>
            </w:r>
            <w:r>
              <w:rPr>
                <w:rFonts w:ascii="Arial" w:cs="Arial" w:eastAsia="Arial" w:hAnsi="Arial"/>
                <w:color w:val="1D9E75"/>
                <w:sz w:val="16"/>
                <w:szCs w:val="16"/>
              </w:rPr>
              <w:t xml:space="preserve">  Build 1st (parallel)</w:t>
            </w:r>
          </w:p>
          <w:p>
            <w:pPr>
              <w:spacing w:after="0" w:before="0"/>
            </w:pPr>
            <w:r>
              <w:rPr>
                <w:rFonts w:ascii="Arial" w:cs="Arial" w:eastAsia="Arial" w:hAnsi="Arial"/>
                <w:i/>
                <w:iCs/>
                <w:color w:val="6B7A9A"/>
                <w:sz w:val="16"/>
                <w:szCs w:val="16"/>
              </w:rPr>
              <w:t xml:space="preserve">Add here if: core support = orders, tracking, returns, or delivery</w:t>
            </w:r>
          </w:p>
        </w:tc>
        <w:tc>
          <w:tcPr>
            <w:tcW w:type="dxa" w:w="3000"/>
            <w:tcBorders>
              <w:top w:val="single" w:color="D0D8E8" w:sz="1"/>
              <w:left w:val="single" w:color="D0D8E8" w:sz="1"/>
              <w:bottom w:val="single" w:color="D0D8E8" w:sz="1"/>
              <w:right w:val="single" w:color="D0D8E8" w:sz="1"/>
            </w:tcBorders>
            <w:shd w:fill="E2F5EC" w:val="clear"/>
            <w:tcMar>
              <w:top w:type="dxa" w:w="100"/>
              <w:left w:type="dxa" w:w="140"/>
              <w:bottom w:type="dxa" w:w="100"/>
              <w:right w:type="dxa" w:w="120"/>
            </w:tcMar>
          </w:tcPr>
          <w:p>
            <w:pPr>
              <w:spacing w:after="28" w:before="0"/>
            </w:pPr>
            <w:r>
              <w:rPr>
                <w:rFonts w:ascii="Arial" w:cs="Arial" w:eastAsia="Arial" w:hAnsi="Arial"/>
                <w:b/>
                <w:bCs/>
                <w:color w:val="085041"/>
                <w:sz w:val="18"/>
                <w:szCs w:val="18"/>
              </w:rPr>
              <w:t xml:space="preserve">Ecommerce</w:t>
            </w:r>
          </w:p>
        </w:tc>
        <w:tc>
          <w:tcPr>
            <w:tcW w:type="dxa" w:w="3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20"/>
            </w:tcMar>
          </w:tcPr>
          <w:p>
            <w:pPr>
              <w:spacing w:after="28" w:before="0"/>
            </w:pPr>
            <w:r>
              <w:rPr>
                <w:rFonts w:ascii="Arial" w:cs="Arial" w:eastAsia="Arial" w:hAnsi="Arial"/>
                <w:color w:val="6B7A9A"/>
                <w:sz w:val="17"/>
                <w:szCs w:val="17"/>
              </w:rPr>
              <w:t xml:space="preserve">Logistics</w:t>
            </w:r>
          </w:p>
          <w:p>
            <w:pPr>
              <w:spacing w:after="28" w:before="0"/>
            </w:pPr>
            <w:r>
              <w:rPr>
                <w:rFonts w:ascii="Arial" w:cs="Arial" w:eastAsia="Arial" w:hAnsi="Arial"/>
                <w:color w:val="6B7A9A"/>
                <w:sz w:val="17"/>
                <w:szCs w:val="17"/>
              </w:rPr>
              <w:t xml:space="preserve">Retail</w:t>
            </w:r>
          </w:p>
        </w:tc>
      </w:tr>
      <w:tr>
        <w:tc>
          <w:tcPr>
            <w:tcW w:type="dxa" w:w="3200"/>
            <w:tcBorders>
              <w:top w:val="single" w:color="D0D8E8" w:sz="1"/>
              <w:left w:val="single" w:color="D0D8E8" w:sz="1"/>
              <w:bottom w:val="single" w:color="D0D8E8" w:sz="1"/>
              <w:right w:val="single" w:color="D0D8E8" w:sz="1"/>
            </w:tcBorders>
            <w:shd w:fill="FAFAFA" w:val="clear"/>
            <w:tcMar>
              <w:top w:type="dxa" w:w="100"/>
              <w:left w:type="dxa" w:w="140"/>
              <w:bottom w:type="dxa" w:w="100"/>
              <w:right w:type="dxa" w:w="120"/>
            </w:tcMar>
          </w:tcPr>
          <w:p>
            <w:pPr>
              <w:spacing w:after="40" w:before="0"/>
            </w:pPr>
            <w:r>
              <w:rPr>
                <w:rFonts w:ascii="Arial" w:cs="Arial" w:eastAsia="Arial" w:hAnsi="Arial"/>
                <w:b/>
                <w:bCs/>
                <w:color w:val="1A1A2E"/>
                <w:sz w:val="20"/>
                <w:szCs w:val="20"/>
              </w:rPr>
              <w:t xml:space="preserve">Technology &amp; Accounts</w:t>
            </w:r>
            <w:r>
              <w:rPr>
                <w:rFonts w:ascii="Arial" w:cs="Arial" w:eastAsia="Arial" w:hAnsi="Arial"/>
                <w:color w:val="1D9E75"/>
                <w:sz w:val="16"/>
                <w:szCs w:val="16"/>
              </w:rPr>
              <w:t xml:space="preserve">  Build 3rd</w:t>
            </w:r>
          </w:p>
          <w:p>
            <w:pPr>
              <w:spacing w:after="0" w:before="0"/>
            </w:pPr>
            <w:r>
              <w:rPr>
                <w:rFonts w:ascii="Arial" w:cs="Arial" w:eastAsia="Arial" w:hAnsi="Arial"/>
                <w:i/>
                <w:iCs/>
                <w:color w:val="6B7A9A"/>
                <w:sz w:val="16"/>
                <w:szCs w:val="16"/>
              </w:rPr>
              <w:t xml:space="preserve">Add here if: core support = accounts, subscriptions, or technical help</w:t>
            </w:r>
          </w:p>
        </w:tc>
        <w:tc>
          <w:tcPr>
            <w:tcW w:type="dxa" w:w="3000"/>
            <w:tcBorders>
              <w:top w:val="single" w:color="D0D8E8" w:sz="1"/>
              <w:left w:val="single" w:color="D0D8E8" w:sz="1"/>
              <w:bottom w:val="single" w:color="D0D8E8" w:sz="1"/>
              <w:right w:val="single" w:color="D0D8E8" w:sz="1"/>
            </w:tcBorders>
            <w:shd w:fill="E2F5EC" w:val="clear"/>
            <w:tcMar>
              <w:top w:type="dxa" w:w="100"/>
              <w:left w:type="dxa" w:w="140"/>
              <w:bottom w:type="dxa" w:w="100"/>
              <w:right w:type="dxa" w:w="120"/>
            </w:tcMar>
          </w:tcPr>
          <w:p>
            <w:r>
              <w:rPr>
                <w:rFonts w:ascii="Arial" w:cs="Arial" w:eastAsia="Arial" w:hAnsi="Arial"/>
                <w:i/>
                <w:iCs/>
                <w:color w:val="6B7A9A"/>
                <w:sz w:val="17"/>
                <w:szCs w:val="17"/>
              </w:rPr>
              <w:t xml:space="preserve">none — future only</w:t>
            </w:r>
          </w:p>
        </w:tc>
        <w:tc>
          <w:tcPr>
            <w:tcW w:type="dxa" w:w="3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20"/>
            </w:tcMar>
          </w:tcPr>
          <w:p>
            <w:pPr>
              <w:spacing w:after="28" w:before="0"/>
            </w:pPr>
            <w:r>
              <w:rPr>
                <w:rFonts w:ascii="Arial" w:cs="Arial" w:eastAsia="Arial" w:hAnsi="Arial"/>
                <w:color w:val="6B7A9A"/>
                <w:sz w:val="17"/>
                <w:szCs w:val="17"/>
              </w:rPr>
              <w:t xml:space="preserve">SaaS / Tech</w:t>
            </w:r>
          </w:p>
          <w:p>
            <w:pPr>
              <w:spacing w:after="28" w:before="0"/>
            </w:pPr>
            <w:r>
              <w:rPr>
                <w:rFonts w:ascii="Arial" w:cs="Arial" w:eastAsia="Arial" w:hAnsi="Arial"/>
                <w:color w:val="6B7A9A"/>
                <w:sz w:val="17"/>
                <w:szCs w:val="17"/>
              </w:rPr>
              <w:t xml:space="preserve">Finance / Banking</w:t>
            </w:r>
          </w:p>
          <w:p>
            <w:pPr>
              <w:spacing w:after="28" w:before="0"/>
            </w:pPr>
            <w:r>
              <w:rPr>
                <w:rFonts w:ascii="Arial" w:cs="Arial" w:eastAsia="Arial" w:hAnsi="Arial"/>
                <w:color w:val="6B7A9A"/>
                <w:sz w:val="17"/>
                <w:szCs w:val="17"/>
              </w:rPr>
              <w:t xml:space="preserve">Education</w:t>
            </w:r>
          </w:p>
        </w:tc>
      </w:tr>
    </w:tbl>
    <w:p>
      <w:pPr>
        <w:pBdr>
          <w:bottom w:val="single" w:color="185FA5" w:sz="5" w:space="5"/>
        </w:pBdr>
        <w:spacing w:after="160" w:before="300"/>
      </w:pPr>
      <w:r>
        <w:rPr>
          <w:rFonts w:ascii="Arial" w:cs="Arial" w:eastAsia="Arial" w:hAnsi="Arial"/>
          <w:b/>
          <w:bCs/>
          <w:color w:val="185FA5"/>
          <w:spacing w:val="80"/>
          <w:sz w:val="19"/>
          <w:szCs w:val="19"/>
        </w:rPr>
        <w:t xml:space="preserve">ADD-ON ANATOMY</w:t>
      </w:r>
    </w:p>
    <w:p>
      <w:pPr>
        <w:spacing w:after="100" w:before="0"/>
      </w:pPr>
      <w:r>
        <w:rPr>
          <w:rFonts w:ascii="Arial" w:cs="Arial" w:eastAsia="Arial" w:hAnsi="Arial"/>
          <w:color w:val="3D4B6B"/>
          <w:sz w:val="20"/>
          <w:szCs w:val="20"/>
        </w:rPr>
        <w:t xml:space="preserve">Every add-on in the library must have exactly these 5 components. Fill the anatomy template fully before building any Voiceflow flow or n8n workflow — no exceptions.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760"/>
        <w:gridCol w:w="3080"/>
        <w:gridCol w:w="4200"/>
      </w:tblGrid>
      <w:tr>
        <w:tc>
          <w:tcPr>
            <w:tcW w:type="dxa" w:w="320"/>
            <w:tcBorders>
              <w:top w:val="single" w:color="D0D8E8" w:sz="1"/>
              <w:left w:val="single" w:color="D0D8E8" w:sz="1"/>
              <w:bottom w:val="single" w:color="0F2A5E" w:sz="4"/>
              <w:right w:val="single" w:color="D0D8E8" w:sz="1"/>
            </w:tcBorders>
            <w:shd w:fill="FAEEDA" w:val="clear"/>
            <w:tcMar>
              <w:top w:type="dxa" w:w="80"/>
              <w:left w:type="dxa" w:w="120"/>
              <w:bottom w:type="dxa" w:w="80"/>
              <w:right w:type="dxa" w:w="80"/>
            </w:tcMar>
          </w:tcPr>
          <w:p>
            <w:r>
              <w:rPr>
                <w:rFonts w:ascii="Arial" w:cs="Arial" w:eastAsia="Arial" w:hAnsi="Arial"/>
                <w:b/>
                <w:bCs/>
                <w:color w:val="633806"/>
                <w:sz w:val="18"/>
                <w:szCs w:val="18"/>
              </w:rPr>
              <w:t xml:space="preserve">#</w:t>
            </w:r>
          </w:p>
        </w:tc>
        <w:tc>
          <w:tcPr>
            <w:tcW w:type="dxa" w:w="1760"/>
            <w:tcBorders>
              <w:top w:val="single" w:color="D0D8E8" w:sz="1"/>
              <w:left w:val="single" w:color="D0D8E8" w:sz="1"/>
              <w:bottom w:val="single" w:color="0F2A5E" w:sz="4"/>
              <w:right w:val="single" w:color="D0D8E8" w:sz="1"/>
            </w:tcBorders>
            <w:shd w:fill="FAEEDA" w:val="clear"/>
            <w:tcMar>
              <w:top w:type="dxa" w:w="80"/>
              <w:left w:type="dxa" w:w="120"/>
              <w:bottom w:type="dxa" w:w="80"/>
              <w:right w:type="dxa" w:w="80"/>
            </w:tcMar>
          </w:tcPr>
          <w:p>
            <w:r>
              <w:rPr>
                <w:rFonts w:ascii="Arial" w:cs="Arial" w:eastAsia="Arial" w:hAnsi="Arial"/>
                <w:b/>
                <w:bCs/>
                <w:color w:val="633806"/>
                <w:sz w:val="18"/>
                <w:szCs w:val="18"/>
              </w:rPr>
              <w:t xml:space="preserve">Component</w:t>
            </w:r>
          </w:p>
        </w:tc>
        <w:tc>
          <w:tcPr>
            <w:tcW w:type="dxa" w:w="3080"/>
            <w:tcBorders>
              <w:top w:val="single" w:color="D0D8E8" w:sz="1"/>
              <w:left w:val="single" w:color="D0D8E8" w:sz="1"/>
              <w:bottom w:val="single" w:color="0F2A5E" w:sz="4"/>
              <w:right w:val="single" w:color="D0D8E8" w:sz="1"/>
            </w:tcBorders>
            <w:shd w:fill="FAEEDA" w:val="clear"/>
            <w:tcMar>
              <w:top w:type="dxa" w:w="80"/>
              <w:left w:type="dxa" w:w="120"/>
              <w:bottom w:type="dxa" w:w="80"/>
              <w:right w:type="dxa" w:w="80"/>
            </w:tcMar>
          </w:tcPr>
          <w:p>
            <w:r>
              <w:rPr>
                <w:rFonts w:ascii="Arial" w:cs="Arial" w:eastAsia="Arial" w:hAnsi="Arial"/>
                <w:b/>
                <w:bCs/>
                <w:color w:val="633806"/>
                <w:sz w:val="18"/>
                <w:szCs w:val="18"/>
              </w:rPr>
              <w:t xml:space="preserve">What it defines</w:t>
            </w:r>
          </w:p>
        </w:tc>
        <w:tc>
          <w:tcPr>
            <w:tcW w:type="dxa" w:w="4200"/>
            <w:tcBorders>
              <w:top w:val="single" w:color="D0D8E8" w:sz="1"/>
              <w:left w:val="single" w:color="D0D8E8" w:sz="1"/>
              <w:bottom w:val="single" w:color="0F2A5E" w:sz="4"/>
              <w:right w:val="single" w:color="D0D8E8" w:sz="1"/>
            </w:tcBorders>
            <w:shd w:fill="FAEEDA" w:val="clear"/>
            <w:tcMar>
              <w:top w:type="dxa" w:w="80"/>
              <w:left w:type="dxa" w:w="120"/>
              <w:bottom w:type="dxa" w:w="80"/>
              <w:right w:type="dxa" w:w="80"/>
            </w:tcMar>
          </w:tcPr>
          <w:p>
            <w:r>
              <w:rPr>
                <w:rFonts w:ascii="Arial" w:cs="Arial" w:eastAsia="Arial" w:hAnsi="Arial"/>
                <w:b/>
                <w:bCs/>
                <w:color w:val="633806"/>
                <w:sz w:val="18"/>
                <w:szCs w:val="18"/>
              </w:rPr>
              <w:t xml:space="preserve">Example</w:t>
            </w:r>
          </w:p>
        </w:tc>
      </w:tr>
      <w:tr>
        <w:tc>
          <w:tcPr>
            <w:tcW w:type="dxa" w:w="3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1</w:t>
            </w:r>
          </w:p>
        </w:tc>
        <w:tc>
          <w:tcPr>
            <w:tcW w:type="dxa" w:w="1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Intent triggers</w:t>
            </w:r>
          </w:p>
        </w:tc>
        <w:tc>
          <w:tcPr>
            <w:tcW w:type="dxa" w:w="30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5–8 NLU phrases that activate this add-on</w:t>
            </w:r>
          </w:p>
        </w:tc>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'where is my order', 'track parcel', 'order status'</w:t>
            </w:r>
          </w:p>
        </w:tc>
      </w:tr>
      <w:tr>
        <w:tc>
          <w:tcPr>
            <w:tcW w:type="dxa" w:w="3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2</w:t>
            </w:r>
          </w:p>
        </w:tc>
        <w:tc>
          <w:tcPr>
            <w:tcW w:type="dxa" w:w="17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Required inputs</w:t>
            </w:r>
          </w:p>
        </w:tc>
        <w:tc>
          <w:tcPr>
            <w:tcW w:type="dxa" w:w="30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Data needed from customer or system before responding</w:t>
            </w:r>
          </w:p>
        </w:tc>
        <w:tc>
          <w:tcPr>
            <w:tcW w:type="dxa" w:w="42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Order ID or email address</w:t>
            </w:r>
          </w:p>
        </w:tc>
      </w:tr>
      <w:tr>
        <w:tc>
          <w:tcPr>
            <w:tcW w:type="dxa" w:w="3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3</w:t>
            </w:r>
          </w:p>
        </w:tc>
        <w:tc>
          <w:tcPr>
            <w:tcW w:type="dxa" w:w="1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Integration hook</w:t>
            </w:r>
          </w:p>
        </w:tc>
        <w:tc>
          <w:tcPr>
            <w:tcW w:type="dxa" w:w="30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n8n webhook name this add-on calls (or KB section for Info type)</w:t>
            </w:r>
          </w:p>
        </w:tc>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get-order-status</w:t>
            </w:r>
          </w:p>
        </w:tc>
      </w:tr>
      <w:tr>
        <w:tc>
          <w:tcPr>
            <w:tcW w:type="dxa" w:w="3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4</w:t>
            </w:r>
          </w:p>
        </w:tc>
        <w:tc>
          <w:tcPr>
            <w:tcW w:type="dxa" w:w="17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Personalization slots</w:t>
            </w:r>
          </w:p>
        </w:tc>
        <w:tc>
          <w:tcPr>
            <w:tcW w:type="dxa" w:w="30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Client-specific variable values filled at onboarding</w:t>
            </w:r>
          </w:p>
        </w:tc>
        <w:tc>
          <w:tcPr>
            <w:tcW w:type="dxa" w:w="42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Company name, return window, service area</w:t>
            </w:r>
          </w:p>
        </w:tc>
      </w:tr>
      <w:tr>
        <w:tc>
          <w:tcPr>
            <w:tcW w:type="dxa" w:w="3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5</w:t>
            </w:r>
          </w:p>
        </w:tc>
        <w:tc>
          <w:tcPr>
            <w:tcW w:type="dxa" w:w="1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Fallback behavior</w:t>
            </w:r>
          </w:p>
        </w:tc>
        <w:tc>
          <w:tcPr>
            <w:tcW w:type="dxa" w:w="30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What happens if data is missing, API fails, or input is invalid</w:t>
            </w:r>
          </w:p>
        </w:tc>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'I couldn’t find that order — please check the ID and try again'</w:t>
            </w:r>
          </w:p>
        </w:tc>
      </w:tr>
    </w:tbl>
    <w:p>
      <w:pPr>
        <w:pBdr>
          <w:bottom w:val="single" w:color="185FA5" w:sz="5" w:space="5"/>
        </w:pBdr>
        <w:spacing w:after="160" w:before="300"/>
      </w:pPr>
      <w:r>
        <w:rPr>
          <w:rFonts w:ascii="Arial" w:cs="Arial" w:eastAsia="Arial" w:hAnsi="Arial"/>
          <w:b/>
          <w:bCs/>
          <w:color w:val="185FA5"/>
          <w:spacing w:val="80"/>
          <w:sz w:val="19"/>
          <w:szCs w:val="19"/>
        </w:rPr>
        <w:t xml:space="preserve">UNIVERSAL CORE</w:t>
      </w:r>
    </w:p>
    <w:p>
      <w:pPr>
        <w:spacing w:after="100" w:before="0"/>
      </w:pPr>
      <w:r>
        <w:rPr>
          <w:rFonts w:ascii="Arial" w:cs="Arial" w:eastAsia="Arial" w:hAnsi="Arial"/>
          <w:color w:val="3D4B6B"/>
          <w:sz w:val="20"/>
          <w:szCs w:val="20"/>
        </w:rPr>
        <w:t xml:space="preserve">The chassis every add-on plugs into. Built first, tested in isolation. Always on for every client. Logic never changes — variable slots are filled per client at onboarding.</w:t>
      </w:r>
    </w:p>
    <w:p>
      <w:pPr>
        <w:spacing w:after="100" w:before="0"/>
      </w:pPr>
      <w:r>
        <w:rPr>
          <w:rFonts w:ascii="Arial" w:cs="Arial" w:eastAsia="Arial" w:hAnsi="Arial"/>
          <w:color w:val="3D4B6B"/>
          <w:sz w:val="20"/>
          <w:szCs w:val="20"/>
        </w:rPr>
        <w:t xml:space="preserve">CSAT delivery: in-chat immediately after resolution (not async email or SMS).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520"/>
        <w:gridCol w:w="4120"/>
        <w:gridCol w:w="3400"/>
      </w:tblGrid>
      <w:tr>
        <w:tc>
          <w:tcPr>
            <w:tcW w:type="dxa" w:w="320"/>
            <w:tcBorders>
              <w:top w:val="single" w:color="D0D8E8" w:sz="1"/>
              <w:left w:val="single" w:color="D0D8E8" w:sz="1"/>
              <w:bottom w:val="single" w:color="185FA5"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w:t>
            </w:r>
          </w:p>
        </w:tc>
        <w:tc>
          <w:tcPr>
            <w:tcW w:type="dxa" w:w="1520"/>
            <w:tcBorders>
              <w:top w:val="single" w:color="D0D8E8" w:sz="1"/>
              <w:left w:val="single" w:color="D0D8E8" w:sz="1"/>
              <w:bottom w:val="single" w:color="185FA5"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Capability</w:t>
            </w:r>
          </w:p>
        </w:tc>
        <w:tc>
          <w:tcPr>
            <w:tcW w:type="dxa" w:w="4120"/>
            <w:tcBorders>
              <w:top w:val="single" w:color="D0D8E8" w:sz="1"/>
              <w:left w:val="single" w:color="D0D8E8" w:sz="1"/>
              <w:bottom w:val="single" w:color="185FA5"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What it does</w:t>
            </w:r>
          </w:p>
        </w:tc>
        <w:tc>
          <w:tcPr>
            <w:tcW w:type="dxa" w:w="3400"/>
            <w:tcBorders>
              <w:top w:val="single" w:color="D0D8E8" w:sz="1"/>
              <w:left w:val="single" w:color="D0D8E8" w:sz="1"/>
              <w:bottom w:val="single" w:color="185FA5"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Variable slots (filled at onboarding)</w:t>
            </w:r>
          </w:p>
        </w:tc>
      </w:tr>
      <w:tr>
        <w:tc>
          <w:tcPr>
            <w:tcW w:type="dxa" w:w="3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1</w:t>
            </w:r>
          </w:p>
        </w:tc>
        <w:tc>
          <w:tcPr>
            <w:tcW w:type="dxa" w:w="15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Greeting</w:t>
            </w:r>
          </w:p>
        </w:tc>
        <w:tc>
          <w:tcPr>
            <w:tcW w:type="dxa" w:w="41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Welcome message + language detection on first message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D9E75"/>
                <w:sz w:val="18"/>
                <w:szCs w:val="18"/>
              </w:rPr>
              <w:t xml:space="preserve">agent_name · greeting_phrase · language</w:t>
            </w:r>
          </w:p>
        </w:tc>
      </w:tr>
      <w:tr>
        <w:tc>
          <w:tcPr>
            <w:tcW w:type="dxa" w:w="3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2</w:t>
            </w:r>
          </w:p>
        </w:tc>
        <w:tc>
          <w:tcPr>
            <w:tcW w:type="dxa" w:w="15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Detect</w:t>
            </w:r>
          </w:p>
        </w:tc>
        <w:tc>
          <w:tcPr>
            <w:tcW w:type="dxa" w:w="41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Intent classification → routes to the correct add-on. Traffic director of every conversation.</w:t>
            </w:r>
          </w:p>
        </w:tc>
        <w:tc>
          <w:tcPr>
            <w:tcW w:type="dxa" w:w="3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D9E75"/>
                <w:sz w:val="18"/>
                <w:szCs w:val="18"/>
              </w:rPr>
              <w:t xml:space="preserve">active_add_on_list (which add-ons are enabled for this client)</w:t>
            </w:r>
          </w:p>
        </w:tc>
      </w:tr>
      <w:tr>
        <w:tc>
          <w:tcPr>
            <w:tcW w:type="dxa" w:w="3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3</w:t>
            </w:r>
          </w:p>
        </w:tc>
        <w:tc>
          <w:tcPr>
            <w:tcW w:type="dxa" w:w="15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Fallback</w:t>
            </w:r>
          </w:p>
        </w:tc>
        <w:tc>
          <w:tcPr>
            <w:tcW w:type="dxa" w:w="41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Unrecognized intent → rephrase prompt → retry (max 2) → escalate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D9E75"/>
                <w:sz w:val="18"/>
                <w:szCs w:val="18"/>
              </w:rPr>
              <w:t xml:space="preserve">fallback_message · retry_limit</w:t>
            </w:r>
          </w:p>
        </w:tc>
      </w:tr>
      <w:tr>
        <w:tc>
          <w:tcPr>
            <w:tcW w:type="dxa" w:w="3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4</w:t>
            </w:r>
          </w:p>
        </w:tc>
        <w:tc>
          <w:tcPr>
            <w:tcW w:type="dxa" w:w="15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Escalate</w:t>
            </w:r>
          </w:p>
        </w:tc>
        <w:tc>
          <w:tcPr>
            <w:tcW w:type="dxa" w:w="41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Triggered by: negative keywords, 3+ failures, explicit request. Sends context payload to human agent.</w:t>
            </w:r>
          </w:p>
        </w:tc>
        <w:tc>
          <w:tcPr>
            <w:tcW w:type="dxa" w:w="3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D9E75"/>
                <w:sz w:val="18"/>
                <w:szCs w:val="18"/>
              </w:rPr>
              <w:t xml:space="preserve">escalation_contacts · trigger_keywords · escalation_message</w:t>
            </w:r>
          </w:p>
        </w:tc>
      </w:tr>
      <w:tr>
        <w:tc>
          <w:tcPr>
            <w:tcW w:type="dxa" w:w="3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5</w:t>
            </w:r>
          </w:p>
        </w:tc>
        <w:tc>
          <w:tcPr>
            <w:tcW w:type="dxa" w:w="15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CSAT</w:t>
            </w:r>
          </w:p>
        </w:tc>
        <w:tc>
          <w:tcPr>
            <w:tcW w:type="dxa" w:w="41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Post-resolution 1–5 rating survey. Sent after every resolved session. In-chat delivery.</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D9E75"/>
                <w:sz w:val="18"/>
                <w:szCs w:val="18"/>
              </w:rPr>
              <w:t xml:space="preserve">survey_timing · survey_question</w:t>
            </w:r>
          </w:p>
        </w:tc>
      </w:tr>
      <w:tr>
        <w:tc>
          <w:tcPr>
            <w:tcW w:type="dxa" w:w="3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6</w:t>
            </w:r>
          </w:p>
        </w:tc>
        <w:tc>
          <w:tcPr>
            <w:tcW w:type="dxa" w:w="15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Logging</w:t>
            </w:r>
          </w:p>
        </w:tc>
        <w:tc>
          <w:tcPr>
            <w:tcW w:type="dxa" w:w="41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Full session transcript + metadata written to analytics after every conversation.</w:t>
            </w:r>
          </w:p>
        </w:tc>
        <w:tc>
          <w:tcPr>
            <w:tcW w:type="dxa" w:w="3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D9E75"/>
                <w:sz w:val="18"/>
                <w:szCs w:val="18"/>
              </w:rPr>
              <w:t xml:space="preserve">retention_period</w:t>
            </w:r>
          </w:p>
        </w:tc>
      </w:tr>
    </w:tbl>
    <w:p>
      <w:pPr>
        <w:pBdr>
          <w:bottom w:val="single" w:color="185FA5" w:sz="5" w:space="5"/>
        </w:pBdr>
        <w:spacing w:after="160" w:before="300"/>
      </w:pPr>
      <w:r>
        <w:rPr>
          <w:rFonts w:ascii="Arial" w:cs="Arial" w:eastAsia="Arial" w:hAnsi="Arial"/>
          <w:b/>
          <w:bCs/>
          <w:color w:val="185FA5"/>
          <w:spacing w:val="80"/>
          <w:sz w:val="19"/>
          <w:szCs w:val="19"/>
        </w:rPr>
        <w:t xml:space="preserve">INTEGRATION PATTERN</w:t>
      </w:r>
    </w:p>
    <w:p>
      <w:pPr>
        <w:spacing w:after="100" w:before="0"/>
      </w:pPr>
      <w:r>
        <w:rPr>
          <w:rFonts w:ascii="Arial" w:cs="Arial" w:eastAsia="Arial" w:hAnsi="Arial"/>
          <w:color w:val="3D4B6B"/>
          <w:sz w:val="20"/>
          <w:szCs w:val="20"/>
        </w:rPr>
        <w:t xml:space="preserve">ConvoCore sits at the channel layer. Customers reach the agent through ConvoCore (WhatsApp, Instagram, Facebook Messenger). Voiceflow processes the conversation. n8n handles all business logic, API calls, data writes, and handoffs. The add-on adapter pattern is unchanged — add-ons call generic n8n webhook names, n8n adapts per client platform.</w:t>
      </w:r>
    </w:p>
    <w:p>
      <w:pPr>
        <w:spacing w:after="100" w:before="0"/>
      </w:pPr>
      <w:r>
        <w:rPr>
          <w:rFonts w:ascii="Arial" w:cs="Arial" w:eastAsia="Arial" w:hAnsi="Arial"/>
          <w:color w:val="3D4B6B"/>
          <w:sz w:val="20"/>
          <w:szCs w:val="20"/>
        </w:rPr>
        <w:t xml:space="preserve">Email is outside ConvoCore. n8n connects directly to Gmail or Outlook API for email triage and the Email Inbox Manager module.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70"/>
        <w:gridCol w:w="360"/>
        <w:gridCol w:w="2070"/>
        <w:gridCol w:w="360"/>
        <w:gridCol w:w="2070"/>
        <w:gridCol w:w="360"/>
        <w:gridCol w:w="2070"/>
      </w:tblGrid>
      <w:tr>
        <w:tc>
          <w:tcPr>
            <w:tcW w:type="dxa" w:w="2070"/>
            <w:tcBorders>
              <w:top w:val="single" w:color="D0D8E8" w:sz="1"/>
              <w:left w:val="single" w:color="D0D8E8" w:sz="1"/>
              <w:bottom w:val="single" w:color="D0D8E8" w:sz="1"/>
              <w:right w:val="single" w:color="D0D8E8" w:sz="1"/>
            </w:tcBorders>
            <w:shd w:fill="EEF3FB" w:val="clear"/>
            <w:tcMar>
              <w:top w:type="dxa" w:w="100"/>
              <w:left w:type="dxa" w:w="80"/>
              <w:bottom w:type="dxa" w:w="100"/>
              <w:right w:type="dxa" w:w="80"/>
            </w:tcMar>
          </w:tcPr>
          <w:p>
            <w:pPr>
              <w:jc w:val="center"/>
            </w:pPr>
            <w:r>
              <w:rPr>
                <w:rFonts w:ascii="Arial" w:cs="Arial" w:eastAsia="Arial" w:hAnsi="Arial"/>
                <w:b/>
                <w:bCs/>
                <w:color w:val="0F2A5E"/>
                <w:sz w:val="19"/>
                <w:szCs w:val="19"/>
              </w:rPr>
              <w:t xml:space="preserve">ConvoCore</w:t>
            </w:r>
          </w:p>
          <w:p>
            <w:pPr>
              <w:jc w:val="center"/>
            </w:pPr>
            <w:r>
              <w:rPr>
                <w:rFonts w:ascii="Arial" w:cs="Arial" w:eastAsia="Arial" w:hAnsi="Arial"/>
                <w:color w:val="3D4B6B"/>
                <w:sz w:val="16"/>
                <w:szCs w:val="16"/>
              </w:rPr>
              <w:t xml:space="preserve">WA · IG · FB Messenger</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185FA5"/>
                <w:sz w:val="22"/>
                <w:szCs w:val="22"/>
              </w:rPr>
              <w:t xml:space="preserve">--&gt;</w:t>
            </w:r>
          </w:p>
        </w:tc>
        <w:tc>
          <w:tcPr>
            <w:tcW w:type="dxa" w:w="2070"/>
            <w:tcBorders>
              <w:top w:val="single" w:color="D0D8E8" w:sz="1"/>
              <w:left w:val="single" w:color="D0D8E8" w:sz="1"/>
              <w:bottom w:val="single" w:color="D0D8E8" w:sz="1"/>
              <w:right w:val="single" w:color="D0D8E8" w:sz="1"/>
            </w:tcBorders>
            <w:shd w:fill="EEF3FB" w:val="clear"/>
            <w:tcMar>
              <w:top w:type="dxa" w:w="100"/>
              <w:left w:type="dxa" w:w="80"/>
              <w:bottom w:type="dxa" w:w="100"/>
              <w:right w:type="dxa" w:w="80"/>
            </w:tcMar>
          </w:tcPr>
          <w:p>
            <w:pPr>
              <w:jc w:val="center"/>
            </w:pPr>
            <w:r>
              <w:rPr>
                <w:rFonts w:ascii="Arial" w:cs="Arial" w:eastAsia="Arial" w:hAnsi="Arial"/>
                <w:b/>
                <w:bCs/>
                <w:color w:val="0F2A5E"/>
                <w:sz w:val="19"/>
                <w:szCs w:val="19"/>
              </w:rPr>
              <w:t xml:space="preserve">Voiceflow Agent</w:t>
            </w:r>
          </w:p>
          <w:p>
            <w:pPr>
              <w:jc w:val="center"/>
            </w:pPr>
            <w:r>
              <w:rPr>
                <w:rFonts w:ascii="Arial" w:cs="Arial" w:eastAsia="Arial" w:hAnsi="Arial"/>
                <w:color w:val="3D4B6B"/>
                <w:sz w:val="16"/>
                <w:szCs w:val="16"/>
              </w:rPr>
              <w:t xml:space="preserve">Conversation, NLU,
add-on execution</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185FA5"/>
                <w:sz w:val="22"/>
                <w:szCs w:val="22"/>
              </w:rPr>
              <w:t xml:space="preserve">--&gt;</w:t>
            </w:r>
          </w:p>
        </w:tc>
        <w:tc>
          <w:tcPr>
            <w:tcW w:type="dxa" w:w="2070"/>
            <w:tcBorders>
              <w:top w:val="single" w:color="D0D8E8" w:sz="1"/>
              <w:left w:val="single" w:color="D0D8E8" w:sz="1"/>
              <w:bottom w:val="single" w:color="D0D8E8" w:sz="1"/>
              <w:right w:val="single" w:color="D0D8E8" w:sz="1"/>
            </w:tcBorders>
            <w:shd w:fill="EEF3FB" w:val="clear"/>
            <w:tcMar>
              <w:top w:type="dxa" w:w="100"/>
              <w:left w:type="dxa" w:w="80"/>
              <w:bottom w:type="dxa" w:w="100"/>
              <w:right w:type="dxa" w:w="80"/>
            </w:tcMar>
          </w:tcPr>
          <w:p>
            <w:pPr>
              <w:jc w:val="center"/>
            </w:pPr>
            <w:r>
              <w:rPr>
                <w:rFonts w:ascii="Arial" w:cs="Arial" w:eastAsia="Arial" w:hAnsi="Arial"/>
                <w:b/>
                <w:bCs/>
                <w:color w:val="0F2A5E"/>
                <w:sz w:val="19"/>
                <w:szCs w:val="19"/>
              </w:rPr>
              <w:t xml:space="preserve">n8n Hub</w:t>
            </w:r>
          </w:p>
          <w:p>
            <w:pPr>
              <w:jc w:val="center"/>
            </w:pPr>
            <w:r>
              <w:rPr>
                <w:rFonts w:ascii="Arial" w:cs="Arial" w:eastAsia="Arial" w:hAnsi="Arial"/>
                <w:color w:val="3D4B6B"/>
                <w:sz w:val="16"/>
                <w:szCs w:val="16"/>
              </w:rPr>
              <w:t xml:space="preserve">API calls, data sync,
escalation alerts</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pPr>
              <w:jc w:val="center"/>
            </w:pPr>
            <w:r>
              <w:rPr>
                <w:rFonts w:ascii="Arial" w:cs="Arial" w:eastAsia="Arial" w:hAnsi="Arial"/>
                <w:b/>
                <w:bCs/>
                <w:color w:val="185FA5"/>
                <w:sz w:val="22"/>
                <w:szCs w:val="22"/>
              </w:rPr>
              <w:t xml:space="preserve">--&gt;</w:t>
            </w:r>
          </w:p>
        </w:tc>
        <w:tc>
          <w:tcPr>
            <w:tcW w:type="dxa" w:w="2070"/>
            <w:tcBorders>
              <w:top w:val="single" w:color="D0D8E8" w:sz="1"/>
              <w:left w:val="single" w:color="D0D8E8" w:sz="1"/>
              <w:bottom w:val="single" w:color="D0D8E8" w:sz="1"/>
              <w:right w:val="single" w:color="D0D8E8" w:sz="1"/>
            </w:tcBorders>
            <w:shd w:fill="EEF3FB" w:val="clear"/>
            <w:tcMar>
              <w:top w:type="dxa" w:w="100"/>
              <w:left w:type="dxa" w:w="80"/>
              <w:bottom w:type="dxa" w:w="100"/>
              <w:right w:type="dxa" w:w="80"/>
            </w:tcMar>
          </w:tcPr>
          <w:p>
            <w:pPr>
              <w:jc w:val="center"/>
            </w:pPr>
            <w:r>
              <w:rPr>
                <w:rFonts w:ascii="Arial" w:cs="Arial" w:eastAsia="Arial" w:hAnsi="Arial"/>
                <w:b/>
                <w:bCs/>
                <w:color w:val="0F2A5E"/>
                <w:sz w:val="19"/>
                <w:szCs w:val="19"/>
              </w:rPr>
              <w:t xml:space="preserve">Client Platform</w:t>
            </w:r>
          </w:p>
          <w:p>
            <w:pPr>
              <w:jc w:val="center"/>
            </w:pPr>
            <w:r>
              <w:rPr>
                <w:rFonts w:ascii="Arial" w:cs="Arial" w:eastAsia="Arial" w:hAnsi="Arial"/>
                <w:color w:val="3D4B6B"/>
                <w:sz w:val="16"/>
                <w:szCs w:val="16"/>
              </w:rPr>
              <w:t xml:space="preserve">CRM · Calendar ·
Shopify · etc.</w:t>
            </w:r>
          </w:p>
        </w:tc>
      </w:tr>
    </w:tbl>
    <w:p>
      <w:pPr>
        <w:spacing w:after="0" w:before="100"/>
      </w:pPr>
      <w:r>
        <w:t xml:space="preserve"/>
      </w:r>
    </w:p>
    <w:p>
      <w:pPr>
        <w:spacing w:after="100" w:before="0"/>
      </w:pPr>
      <w:r>
        <w:rPr>
          <w:rFonts w:ascii="Arial" w:cs="Arial" w:eastAsia="Arial" w:hAnsi="Arial"/>
          <w:color w:val="6B7A9A"/>
          <w:sz w:val="20"/>
          <w:szCs w:val="20"/>
        </w:rPr>
        <w:t xml:space="preserve">Response travels back the same path: client platform → n8n → Voiceflow → ConvoCore → customer.</w:t>
      </w:r>
    </w:p>
    <w:p>
      <w:pPr>
        <w:spacing w:after="100" w:before="0"/>
      </w:pPr>
      <w:r>
        <w:rPr>
          <w:rFonts w:ascii="Arial" w:cs="Arial" w:eastAsia="Arial" w:hAnsi="Arial"/>
          <w:color w:val="3D4B6B"/>
          <w:sz w:val="20"/>
          <w:szCs w:val="20"/>
        </w:rPr>
        <w:t xml:space="preserve">Webhook naming convention: verb-entity format. Examples: get-order-status, post-appointment-booking, create-refund-request, get-stock-level, create-support-ticket.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85FA5" w:sz="14"/>
              <w:bottom w:val="none" w:color="FFFFFF" w:sz="0"/>
              <w:right w:val="none" w:color="FFFFFF" w:sz="0"/>
            </w:tcBorders>
            <w:shd w:fill="EEF3FB" w:val="clear"/>
            <w:tcMar>
              <w:top w:type="dxa" w:w="110"/>
              <w:left w:type="dxa" w:w="200"/>
              <w:bottom w:type="dxa" w:w="110"/>
              <w:right w:type="dxa" w:w="200"/>
            </w:tcMar>
          </w:tcPr>
          <w:p>
            <w:r>
              <w:rPr>
                <w:rFonts w:ascii="Arial" w:cs="Arial" w:eastAsia="Arial" w:hAnsi="Arial"/>
                <w:b/>
                <w:bCs/>
                <w:color w:val="185FA5"/>
                <w:sz w:val="20"/>
                <w:szCs w:val="20"/>
              </w:rPr>
              <w:t xml:space="preserve">ConvoCore integrations: </w:t>
            </w:r>
            <w:r>
              <w:rPr>
                <w:rFonts w:ascii="Arial" w:cs="Arial" w:eastAsia="Arial" w:hAnsi="Arial"/>
                <w:color w:val="3D4B6B"/>
                <w:sz w:val="20"/>
                <w:szCs w:val="20"/>
              </w:rPr>
              <w:t xml:space="preserve">ConvoCore has native Calendar, Calendly, and Outlook integrations. Use these for simple booking confirmations. Use n8n for complex multi-step flows or when avoiding vendor lock-in matters. Do not rely on ConvoCore's native analytics for client reporting — it may capture internal bot-to-Voiceflow messages. Primary analytics source: n8n → Google Sheets.</w:t>
            </w:r>
          </w:p>
        </w:tc>
      </w:tr>
    </w:tbl>
    <w:p>
      <w:pPr>
        <w:pBdr>
          <w:bottom w:val="single" w:color="185FA5" w:sz="5" w:space="5"/>
        </w:pBdr>
        <w:spacing w:after="160" w:before="300"/>
      </w:pPr>
      <w:r>
        <w:rPr>
          <w:rFonts w:ascii="Arial" w:cs="Arial" w:eastAsia="Arial" w:hAnsi="Arial"/>
          <w:b/>
          <w:bCs/>
          <w:color w:val="185FA5"/>
          <w:spacing w:val="80"/>
          <w:sz w:val="19"/>
          <w:szCs w:val="19"/>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560"/>
        <w:gridCol w:w="1600"/>
      </w:tblGrid>
      <w:tr>
        <w:tc>
          <w:tcPr>
            <w:tcW w:type="dxa" w:w="18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Layer</w:t>
            </w:r>
          </w:p>
        </w:tc>
        <w:tc>
          <w:tcPr>
            <w:tcW w:type="dxa" w:w="24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Tool</w:t>
            </w:r>
          </w:p>
        </w:tc>
        <w:tc>
          <w:tcPr>
            <w:tcW w:type="dxa" w:w="356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Role</w:t>
            </w:r>
          </w:p>
        </w:tc>
        <w:tc>
          <w:tcPr>
            <w:tcW w:type="dxa" w:w="1600"/>
            <w:tcBorders>
              <w:top w:val="single" w:color="D0D8E8" w:sz="1"/>
              <w:left w:val="single" w:color="D0D8E8" w:sz="1"/>
              <w:bottom w:val="single" w:color="0F2A5E" w:sz="4"/>
              <w:right w:val="single" w:color="D0D8E8" w:sz="1"/>
            </w:tcBorders>
            <w:shd w:fill="EEF3FB" w:val="clear"/>
            <w:tcMar>
              <w:top w:type="dxa" w:w="80"/>
              <w:left w:type="dxa" w:w="120"/>
              <w:bottom w:type="dxa" w:w="80"/>
              <w:right w:type="dxa" w:w="80"/>
            </w:tcMar>
          </w:tcPr>
          <w:p>
            <w:r>
              <w:rPr>
                <w:rFonts w:ascii="Arial" w:cs="Arial" w:eastAsia="Arial" w:hAnsi="Arial"/>
                <w:b/>
                <w:bCs/>
                <w:color w:val="0F2A5E"/>
                <w:sz w:val="18"/>
                <w:szCs w:val="18"/>
              </w:rPr>
              <w:t xml:space="preserve">Cost</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Channel bridge</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ConvoCore (white-label)</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Client-facing channel frontend. WA, IG, FB Messenger via Meta auth. Client gets branded dashboard.</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Paid — agency plan</w:t>
            </w:r>
          </w:p>
        </w:tc>
      </w:tr>
      <w:tr>
        <w:tc>
          <w:tcPr>
            <w:tcW w:type="dxa" w:w="18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Email channel</w:t>
            </w:r>
          </w:p>
        </w:tc>
        <w:tc>
          <w:tcPr>
            <w:tcW w:type="dxa" w:w="2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n8n + Gmail / Outlook API</w:t>
            </w:r>
          </w:p>
        </w:tc>
        <w:tc>
          <w:tcPr>
            <w:tcW w:type="dxa" w:w="3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Email triage and inbox management. Handled separately — ConvoCore does not support email.</w:t>
            </w:r>
          </w:p>
        </w:tc>
        <w:tc>
          <w:tcPr>
            <w:tcW w:type="dxa" w:w="1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Free tiers (API)</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Agent brain</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Voiceflow</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Conversation design, NLU, flow execution, KB queries</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Paid — usage-based</w:t>
            </w:r>
          </w:p>
        </w:tc>
      </w:tr>
      <w:tr>
        <w:tc>
          <w:tcPr>
            <w:tcW w:type="dxa" w:w="18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Integration hub</w:t>
            </w:r>
          </w:p>
        </w:tc>
        <w:tc>
          <w:tcPr>
            <w:tcW w:type="dxa" w:w="2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n8n (self-hosted)</w:t>
            </w:r>
          </w:p>
        </w:tc>
        <w:tc>
          <w:tcPr>
            <w:tcW w:type="dxa" w:w="3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All API calls, automation, handoffs, CRM sync, logging</w:t>
            </w:r>
          </w:p>
        </w:tc>
        <w:tc>
          <w:tcPr>
            <w:tcW w:type="dxa" w:w="1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~$10/mo VPS (Hetzner)</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Knowledge base</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Voiceflow KB + Supabase</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RAG for FAQs, policies, product info</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Free tiers</w:t>
            </w:r>
          </w:p>
        </w:tc>
      </w:tr>
      <w:tr>
        <w:tc>
          <w:tcPr>
            <w:tcW w:type="dxa" w:w="18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CRM</w:t>
            </w:r>
          </w:p>
        </w:tc>
        <w:tc>
          <w:tcPr>
            <w:tcW w:type="dxa" w:w="2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HubSpot / GoHighLevel / Airtable</w:t>
            </w:r>
          </w:p>
        </w:tc>
        <w:tc>
          <w:tcPr>
            <w:tcW w:type="dxa" w:w="3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Customer history, session tagging, lead recovery sequences</w:t>
            </w:r>
          </w:p>
        </w:tc>
        <w:tc>
          <w:tcPr>
            <w:tcW w:type="dxa" w:w="1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Free or client-provided</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Ticketing</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Freshdesk Free</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Escalation ticket tracking</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Free (up to 10 agents)</w:t>
            </w:r>
          </w:p>
        </w:tc>
      </w:tr>
      <w:tr>
        <w:tc>
          <w:tcPr>
            <w:tcW w:type="dxa" w:w="18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Analytics</w:t>
            </w:r>
          </w:p>
        </w:tc>
        <w:tc>
          <w:tcPr>
            <w:tcW w:type="dxa" w:w="2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Google Sheets + Looker Studio</w:t>
            </w:r>
          </w:p>
        </w:tc>
        <w:tc>
          <w:tcPr>
            <w:tcW w:type="dxa" w:w="3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CSAT, volume, add-on performance, Revenue Dashboard</w:t>
            </w:r>
          </w:p>
        </w:tc>
        <w:tc>
          <w:tcPr>
            <w:tcW w:type="dxa" w:w="1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80"/>
            </w:tcMar>
          </w:tcPr>
          <w:p>
            <w:r>
              <w:rPr>
                <w:rFonts w:ascii="Arial" w:cs="Arial" w:eastAsia="Arial" w:hAnsi="Arial"/>
                <w:color w:val="1A1A2E"/>
                <w:sz w:val="18"/>
                <w:szCs w:val="18"/>
              </w:rPr>
              <w:t xml:space="preserve">Free</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Human handoff</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Slack / Email via n8n</w:t>
            </w:r>
          </w:p>
        </w:tc>
        <w:tc>
          <w:tcPr>
            <w:tcW w:type="dxa" w:w="3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Escalation alerts with full context payload</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Free</w:t>
            </w:r>
          </w:p>
        </w:tc>
      </w:tr>
    </w:tbl>
    <w:p>
      <w:pPr>
        <w:pBdr>
          <w:bottom w:val="single" w:color="185FA5" w:sz="5" w:space="5"/>
        </w:pBdr>
        <w:spacing w:after="160" w:before="300"/>
      </w:pPr>
      <w:r>
        <w:rPr>
          <w:rFonts w:ascii="Arial" w:cs="Arial" w:eastAsia="Arial" w:hAnsi="Arial"/>
          <w:b/>
          <w:bCs/>
          <w:color w:val="185FA5"/>
          <w:spacing w:val="80"/>
          <w:sz w:val="19"/>
          <w:szCs w:val="19"/>
        </w:rPr>
        <w:t xml:space="preserve">BUILD SEQUENCE</w:t>
      </w:r>
    </w:p>
    <w:p>
      <w:pPr>
        <w:spacing w:after="100" w:before="0"/>
      </w:pPr>
      <w:r>
        <w:rPr>
          <w:rFonts w:ascii="Arial" w:cs="Arial" w:eastAsia="Arial" w:hAnsi="Arial"/>
          <w:color w:val="3D4B6B"/>
          <w:sz w:val="20"/>
          <w:szCs w:val="20"/>
        </w:rPr>
        <w:t xml:space="preserve">Follow this order exactly. Do not skip steps or build out of sequence.</w:t>
      </w:r>
    </w:p>
    <w:p>
      <w:pPr>
        <w:spacing w:after="0" w:before="60"/>
      </w:pPr>
      <w:r>
        <w:t xml:space="preserve"/>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Universal core</w:t>
      </w:r>
      <w:r>
        <w:rPr>
          <w:rFonts w:ascii="Arial" w:cs="Arial" w:eastAsia="Arial" w:hAnsi="Arial"/>
          <w:color w:val="1A1A2E"/>
          <w:sz w:val="20"/>
          <w:szCs w:val="20"/>
        </w:rPr>
        <w:t xml:space="preserve"> — build and fully test all 6 capabilities before touching any add-on.</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Add-on anatomy templates</w:t>
      </w:r>
      <w:r>
        <w:rPr>
          <w:rFonts w:ascii="Arial" w:cs="Arial" w:eastAsia="Arial" w:hAnsi="Arial"/>
          <w:color w:val="1A1A2E"/>
          <w:sz w:val="20"/>
          <w:szCs w:val="20"/>
        </w:rPr>
        <w:t xml:space="preserve"> — fill the template for every MVP add-on before any Voiceflow flow is built.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Integration adapter scaffolding</w:t>
      </w:r>
      <w:r>
        <w:rPr>
          <w:rFonts w:ascii="Arial" w:cs="Arial" w:eastAsia="Arial" w:hAnsi="Arial"/>
          <w:color w:val="1A1A2E"/>
          <w:sz w:val="20"/>
          <w:szCs w:val="20"/>
        </w:rPr>
        <w:t xml:space="preserve"> — create all MVP n8n webhooks with correct names (empty workflows are fine at this stage).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MVP add-ons for first cluster</w:t>
      </w:r>
      <w:r>
        <w:rPr>
          <w:rFonts w:ascii="Arial" w:cs="Arial" w:eastAsia="Arial" w:hAnsi="Arial"/>
          <w:color w:val="1A1A2E"/>
          <w:sz w:val="20"/>
          <w:szCs w:val="20"/>
        </w:rPr>
        <w:t xml:space="preserve"> — top 3 add-ons per task type = 15 add-ons maximum. Build, test, publish to library.</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KB content</w:t>
      </w:r>
      <w:r>
        <w:rPr>
          <w:rFonts w:ascii="Arial" w:cs="Arial" w:eastAsia="Arial" w:hAnsi="Arial"/>
          <w:color w:val="1A1A2E"/>
          <w:sz w:val="20"/>
          <w:szCs w:val="20"/>
        </w:rPr>
        <w:t xml:space="preserve"> — universal tier, first-cluster tier, and first-client tier uploaded and tested.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First client UAT</w:t>
      </w:r>
      <w:r>
        <w:rPr>
          <w:rFonts w:ascii="Arial" w:cs="Arial" w:eastAsia="Arial" w:hAnsi="Arial"/>
          <w:color w:val="1A1A2E"/>
          <w:sz w:val="20"/>
          <w:szCs w:val="20"/>
        </w:rPr>
        <w:t xml:space="preserve"> — run 5 test cases per add-on. All must pass before go-live.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Monitor, iterate, expand</w:t>
      </w:r>
      <w:r>
        <w:rPr>
          <w:rFonts w:ascii="Arial" w:cs="Arial" w:eastAsia="Arial" w:hAnsi="Arial"/>
          <w:color w:val="1A1A2E"/>
          <w:sz w:val="20"/>
          <w:szCs w:val="20"/>
        </w:rPr>
        <w:t xml:space="preserve"> — fix KB and intent trigger gaps from real sessions, then build the next cluster.</w:t>
      </w:r>
    </w:p>
    <w:p>
      <w:pPr>
        <w:pBdr>
          <w:bottom w:val="single" w:color="185FA5" w:sz="5" w:space="5"/>
        </w:pBdr>
        <w:spacing w:after="160" w:before="300"/>
      </w:pPr>
      <w:r>
        <w:rPr>
          <w:rFonts w:ascii="Arial" w:cs="Arial" w:eastAsia="Arial" w:hAnsi="Arial"/>
          <w:b/>
          <w:bCs/>
          <w:color w:val="185FA5"/>
          <w:spacing w:val="80"/>
          <w:sz w:val="19"/>
          <w:szCs w:val="19"/>
        </w:rPr>
        <w:t xml:space="preserve">KEY RULES</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One task type per add-on.</w:t>
      </w:r>
      <w:r>
        <w:rPr>
          <w:rFonts w:ascii="Arial" w:cs="Arial" w:eastAsia="Arial" w:hAnsi="Arial"/>
          <w:color w:val="1A1A2E"/>
          <w:sz w:val="20"/>
          <w:szCs w:val="20"/>
        </w:rPr>
        <w:t xml:space="preserve"> Every add-on belongs to exactly one of the 5 task types. No hybrid add-ons.</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Template before build.</w:t>
      </w:r>
      <w:r>
        <w:rPr>
          <w:rFonts w:ascii="Arial" w:cs="Arial" w:eastAsia="Arial" w:hAnsi="Arial"/>
          <w:color w:val="1A1A2E"/>
          <w:sz w:val="20"/>
          <w:szCs w:val="20"/>
        </w:rPr>
        <w:t xml:space="preserve"> Add-on anatomy template must be completed and reviewed before any Voiceflow flow or n8n workflow is created for that add-on.</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Core first, always.</w:t>
      </w:r>
      <w:r>
        <w:rPr>
          <w:rFonts w:ascii="Arial" w:cs="Arial" w:eastAsia="Arial" w:hAnsi="Arial"/>
          <w:color w:val="1A1A2E"/>
          <w:sz w:val="20"/>
          <w:szCs w:val="20"/>
        </w:rPr>
        <w:t xml:space="preserve"> Universal core must be fully built and tested before any add-on build begins.</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Adapter pattern only.</w:t>
      </w:r>
      <w:r>
        <w:rPr>
          <w:rFonts w:ascii="Arial" w:cs="Arial" w:eastAsia="Arial" w:hAnsi="Arial"/>
          <w:color w:val="1A1A2E"/>
          <w:sz w:val="20"/>
          <w:szCs w:val="20"/>
        </w:rPr>
        <w:t xml:space="preserve"> Add-ons call generic webhook names. They never reference client-specific platforms, credentials, or URLs directly.</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ConvoCore is the channel layer.</w:t>
      </w:r>
      <w:r>
        <w:rPr>
          <w:rFonts w:ascii="Arial" w:cs="Arial" w:eastAsia="Arial" w:hAnsi="Arial"/>
          <w:color w:val="1A1A2E"/>
          <w:sz w:val="20"/>
          <w:szCs w:val="20"/>
        </w:rPr>
        <w:t xml:space="preserve"> All WhatsApp, Instagram, and Facebook Messenger traffic goes through ConvoCore. Never build direct channel API connections. Email connects through n8n directly.</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Beta before Stable.</w:t>
      </w:r>
      <w:r>
        <w:rPr>
          <w:rFonts w:ascii="Arial" w:cs="Arial" w:eastAsia="Arial" w:hAnsi="Arial"/>
          <w:color w:val="1A1A2E"/>
          <w:sz w:val="20"/>
          <w:szCs w:val="20"/>
        </w:rPr>
        <w:t xml:space="preserve"> All add-on updates go to Beta first. Minimum 14 days with zero critical issues before promoting to Stable and updating existing clients.</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Cluster not niche.</w:t>
      </w:r>
      <w:r>
        <w:rPr>
          <w:rFonts w:ascii="Arial" w:cs="Arial" w:eastAsia="Arial" w:hAnsi="Arial"/>
          <w:color w:val="1A1A2E"/>
          <w:sz w:val="20"/>
          <w:szCs w:val="20"/>
        </w:rPr>
        <w:t xml:space="preserve"> Build add-ons for entire clusters. One cluster build covers 70–80% of all niches in that group — never build for a single niche in isolation.</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Anatomy template is the source of truth.</w:t>
      </w:r>
      <w:r>
        <w:rPr>
          <w:rFonts w:ascii="Arial" w:cs="Arial" w:eastAsia="Arial" w:hAnsi="Arial"/>
          <w:color w:val="1A1A2E"/>
          <w:sz w:val="20"/>
          <w:szCs w:val="20"/>
        </w:rPr>
        <w:t xml:space="preserve"> If the template and the built flow disagree, fix the flow.</w:t>
      </w:r>
    </w:p>
    <w:p>
      <w:pPr>
        <w:pStyle w:val="ListParagraph"/>
        <w:numPr>
          <w:ilvl w:val="0"/>
          <w:numId w:val="3"/>
        </w:numPr>
        <w:spacing w:after="40" w:before="40"/>
      </w:pPr>
      <w:r>
        <w:rPr>
          <w:rFonts w:ascii="Arial" w:cs="Arial" w:eastAsia="Arial" w:hAnsi="Arial"/>
          <w:color w:val="1A1A2E"/>
          <w:sz w:val="20"/>
          <w:szCs w:val="20"/>
        </w:rPr>
        <w:t xml:space="preserve"/>
      </w:r>
      <w:r>
        <w:rPr>
          <w:rFonts w:ascii="Arial" w:cs="Arial" w:eastAsia="Arial" w:hAnsi="Arial"/>
          <w:b/>
          <w:bCs/>
          <w:color w:val="1A1A2E"/>
          <w:sz w:val="20"/>
          <w:szCs w:val="20"/>
        </w:rPr>
        <w:t xml:space="preserve">Variable slots, never code changes.</w:t>
      </w:r>
      <w:r>
        <w:rPr>
          <w:rFonts w:ascii="Arial" w:cs="Arial" w:eastAsia="Arial" w:hAnsi="Arial"/>
          <w:color w:val="1A1A2E"/>
          <w:sz w:val="20"/>
          <w:szCs w:val="20"/>
        </w:rPr>
        <w:t xml:space="preserve"> All client customization goes through named variable slots only. Never modify underlying flow logic or structure for a specific client.</w:t>
      </w:r>
    </w:p>
    <w:p>
      <w:pPr>
        <w:spacing w:after="0" w:before="120"/>
      </w:pPr>
      <w:r>
        <w:t xml:space="preserve"/>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2" w:space="4"/>
      </w:pBdr>
      <w:tabs>
        <w:tab w:val="right" w:pos="9360"/>
      </w:tabs>
    </w:pPr>
    <w:r>
      <w:rPr>
        <w:rFonts w:ascii="Arial" w:cs="Arial" w:eastAsia="Arial" w:hAnsi="Arial"/>
        <w:color w:val="6B7A9A"/>
        <w:sz w:val="16"/>
        <w:szCs w:val="16"/>
      </w:rPr>
      <w:t xml:space="preserve">ZeroManual  ·  Modular Agent Architecture Reference  ·  v1.2</w:t>
    </w:r>
    <w:r>
      <w:rPr>
        <w:rFonts w:ascii="Arial" w:cs="Arial" w:eastAsia="Arial" w:hAnsi="Arial"/>
        <w:sz w:val="16"/>
        <w:szCs w:val="16"/>
      </w:rPr>
      <w:t xml:space="preserve">	</w:t>
    </w:r>
    <w:r>
      <w:rPr>
        <w:rFonts w:ascii="Arial" w:cs="Arial" w:eastAsia="Arial" w:hAnsi="Arial"/>
        <w:color w:val="6B7A9A"/>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2026-06-05T22:29:10.031Z</dcterms:created>
  <dcterms:modified xsi:type="dcterms:W3CDTF">2026-06-05T22:29:10.043Z</dcterms:modified>
</cp:coreProperties>
</file>

<file path=docProps/custom.xml><?xml version="1.0" encoding="utf-8"?>
<Properties xmlns="http://schemas.openxmlformats.org/officeDocument/2006/custom-properties" xmlns:vt="http://schemas.openxmlformats.org/officeDocument/2006/docPropsVTypes"/>
</file>