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Between</w:t>
      </w:r>
      <w:r>
        <w:t xml:space="preserve"> </w:t>
      </w:r>
      <w:r>
        <w:t xml:space="preserve">Gloss</w:t>
      </w:r>
      <w:r>
        <w:t xml:space="preserve"> </w:t>
      </w:r>
      <w:r>
        <w:t xml:space="preserve">and</w:t>
      </w:r>
      <w:r>
        <w:t xml:space="preserve"> </w:t>
      </w:r>
      <w:r>
        <w:t xml:space="preserve">Faith:</w:t>
      </w:r>
      <w:r>
        <w:t xml:space="preserve"> </w:t>
      </w:r>
      <w:r>
        <w:t xml:space="preserve">Interlinear</w:t>
      </w:r>
      <w:r>
        <w:t xml:space="preserve"> </w:t>
      </w:r>
      <w:r>
        <w:t xml:space="preserve">Glossing,</w:t>
      </w:r>
      <w:r>
        <w:t xml:space="preserve"> </w:t>
      </w:r>
      <w:r>
        <w:t xml:space="preserve">Sentence-Level</w:t>
      </w:r>
      <w:r>
        <w:t xml:space="preserve"> </w:t>
      </w:r>
      <w:r>
        <w:t xml:space="preserve">Translation</w:t>
      </w:r>
      <w:r>
        <w:t xml:space="preserve"> </w:t>
      </w:r>
      <w:r>
        <w:t xml:space="preserve">and</w:t>
      </w:r>
      <w:r>
        <w:t xml:space="preserve"> </w:t>
      </w:r>
      <w:r>
        <w:t xml:space="preserve">the</w:t>
      </w:r>
      <w:r>
        <w:t xml:space="preserve"> </w:t>
      </w:r>
      <w:r>
        <w:t xml:space="preserve">Semantic</w:t>
      </w:r>
      <w:r>
        <w:t xml:space="preserve"> </w:t>
      </w:r>
      <w:r>
        <w:t xml:space="preserve">Narrowing</w:t>
      </w:r>
      <w:r>
        <w:t xml:space="preserve"> </w:t>
      </w:r>
      <w:r>
        <w:t xml:space="preserve">of</w:t>
      </w:r>
      <w:r>
        <w:t xml:space="preserve"> </w:t>
      </w:r>
      <w:r>
        <w:rPr>
          <w:iCs/>
          <w:i/>
        </w:rPr>
        <w:t xml:space="preserve">Taqwā</w:t>
      </w:r>
      <w:r>
        <w:t xml:space="preserve">,</w:t>
      </w:r>
      <w:r>
        <w:t xml:space="preserve"> </w:t>
      </w:r>
      <w:r>
        <w:rPr>
          <w:iCs/>
          <w:i/>
        </w:rPr>
        <w:t xml:space="preserve">Raḥmat</w:t>
      </w:r>
      <w:r>
        <w:t xml:space="preserve"> </w:t>
      </w:r>
      <w:r>
        <w:t xml:space="preserve">and</w:t>
      </w:r>
      <w:r>
        <w:t xml:space="preserve"> </w:t>
      </w:r>
      <w:r>
        <w:rPr>
          <w:iCs/>
          <w:i/>
        </w:rPr>
        <w:t xml:space="preserve">Kāfir</w:t>
      </w:r>
      <w:r>
        <w:t xml:space="preserve"> </w:t>
      </w:r>
      <w:r>
        <w:t xml:space="preserve">in</w:t>
      </w:r>
      <w:r>
        <w:t xml:space="preserve"> </w:t>
      </w:r>
      <w:r>
        <w:t xml:space="preserve">the</w:t>
      </w:r>
      <w:r>
        <w:t xml:space="preserve"> </w:t>
      </w:r>
      <w:r>
        <w:t xml:space="preserve">Quranic</w:t>
      </w:r>
      <w:r>
        <w:t xml:space="preserve"> </w:t>
      </w:r>
      <w:r>
        <w:t xml:space="preserve">Arabic</w:t>
      </w:r>
      <w:r>
        <w:t xml:space="preserve"> </w:t>
      </w:r>
      <w:r>
        <w:t xml:space="preserve">Corpus</w:t>
      </w:r>
    </w:p>
    <w:p>
      <w:pPr>
        <w:pStyle w:val="FirstParagraph"/>
      </w:pPr>
      <w:r>
        <w:rPr>
          <w:bCs/>
          <w:b/>
        </w:rPr>
        <w:t xml:space="preserve">Muhammad Albie Fathurrahman</w:t>
      </w:r>
    </w:p>
    <w:p>
      <w:pPr>
        <w:pStyle w:val="BodyText"/>
      </w:pPr>
      <w:r>
        <w:t xml:space="preserve">Faculty of Languages, Arts, and Culture, Universitas Negeri Yogyakarta, Yogyakarta, Indonesia</w:t>
      </w:r>
    </w:p>
    <w:p>
      <w:pPr>
        <w:pStyle w:val="BodyText"/>
      </w:pPr>
      <w:r>
        <w:t xml:space="preserve">muhamadalbie.2024@student.uny.ac.id</w:t>
      </w:r>
    </w:p>
    <w:p>
      <w:pPr>
        <w:pStyle w:val="BodyText"/>
      </w:pPr>
      <w:r>
        <w:rPr>
          <w:bCs/>
          <w:b/>
        </w:rPr>
        <w:t xml:space="preserve">Abstract</w:t>
      </w:r>
    </w:p>
    <w:p>
      <w:pPr>
        <w:pStyle w:val="BodyText"/>
      </w:pPr>
      <w:r>
        <w:t xml:space="preserve">Studies of Qur’an translation often treat English equivalents of theological terms as if they came from a single kind of text. This article separates two kinds: the interlinear word-by-word gloss of the Quranic Arabic Corpus (QAC) and the sentence-level translations displayed alongside it. Drawing on every token of three lemmas as annotated in the QAC (</w:t>
      </w:r>
      <w:r>
        <w:rPr>
          <w:iCs/>
          <w:i/>
        </w:rPr>
        <w:t xml:space="preserve">taqwā</w:t>
      </w:r>
      <w:r>
        <w:t xml:space="preserve">, 17;</w:t>
      </w:r>
      <w:r>
        <w:t xml:space="preserve"> </w:t>
      </w:r>
      <w:r>
        <w:rPr>
          <w:iCs/>
          <w:i/>
        </w:rPr>
        <w:t xml:space="preserve">raḥmat</w:t>
      </w:r>
      <w:r>
        <w:t xml:space="preserve">, 114;</w:t>
      </w:r>
      <w:r>
        <w:t xml:space="preserve"> </w:t>
      </w:r>
      <w:r>
        <w:rPr>
          <w:iCs/>
          <w:i/>
        </w:rPr>
        <w:t xml:space="preserve">kāfir</w:t>
      </w:r>
      <w:r>
        <w:t xml:space="preserve">, 27; total 158), together with the 131 tokens of the participial</w:t>
      </w:r>
      <w:r>
        <w:t xml:space="preserve"> </w:t>
      </w:r>
      <w:r>
        <w:rPr>
          <w:iCs/>
          <w:i/>
        </w:rPr>
        <w:t xml:space="preserve">kāfir</w:t>
      </w:r>
      <w:r>
        <w:t xml:space="preserve">-pattern, the study first describes the glossing norm. The gloss layer assigns one default English lexeme to 151 of 158 tokens (95.6 per cent), and it departs from that default only when the co-text makes the default incompatible or a collocational partner has already claimed it. The same tokens are then compared across five translations displayed on the QAC: Sahih International, Pickthall, Yusuf Ali, Arberry and al-Hilali and Khan.</w:t>
      </w:r>
      <w:r>
        <w:t xml:space="preserve"> </w:t>
      </w:r>
      <w:r>
        <w:rPr>
          <w:iCs/>
          <w:i/>
        </w:rPr>
        <w:t xml:space="preserve">Raḥmat</w:t>
      </w:r>
      <w:r>
        <w:t xml:space="preserve"> </w:t>
      </w:r>
      <w:r>
        <w:t xml:space="preserve">and</w:t>
      </w:r>
      <w:r>
        <w:t xml:space="preserve"> </w:t>
      </w:r>
      <w:r>
        <w:rPr>
          <w:iCs/>
          <w:i/>
        </w:rPr>
        <w:t xml:space="preserve">kāfir</w:t>
      </w:r>
      <w:r>
        <w:t xml:space="preserve"> </w:t>
      </w:r>
      <w:r>
        <w:t xml:space="preserve">remain largely stable across them.</w:t>
      </w:r>
      <w:r>
        <w:t xml:space="preserve"> </w:t>
      </w:r>
      <w:r>
        <w:rPr>
          <w:iCs/>
          <w:i/>
        </w:rPr>
        <w:t xml:space="preserve">Taqwā</w:t>
      </w:r>
      <w:r>
        <w:t xml:space="preserve"> </w:t>
      </w:r>
      <w:r>
        <w:t xml:space="preserve">splits into ethical, devotional, affective, protective and retentive renderings. The article draws on Nida’s notion of gloss translation, Nord’s documentary translation, Toury’s norms, Baker’s types of lexical meaning and Izutsu’s Qur’anic semantic fields. It argues that semantic narrowing occurs in three places: in a design norm of the gloss, in the absence of any stable English equivalent for</w:t>
      </w:r>
      <w:r>
        <w:t xml:space="preserve"> </w:t>
      </w:r>
      <w:r>
        <w:rPr>
          <w:iCs/>
          <w:i/>
        </w:rPr>
        <w:t xml:space="preserve">taqwā</w:t>
      </w:r>
      <w:r>
        <w:t xml:space="preserve">, and in presupposed meanings that no single lexical choice can carry. It ends with proposals for layered glossing.</w:t>
      </w:r>
    </w:p>
    <w:p>
      <w:pPr>
        <w:pStyle w:val="BodyText"/>
      </w:pPr>
      <w:r>
        <w:rPr>
          <w:bCs/>
          <w:b/>
        </w:rPr>
        <w:t xml:space="preserve">Keywords:</w:t>
      </w:r>
      <w:r>
        <w:t xml:space="preserve"> </w:t>
      </w:r>
      <w:r>
        <w:t xml:space="preserve">Qur’an translation; interlinear glossing; documentary translation; translation norms; corpus-based translation studies;</w:t>
      </w:r>
      <w:r>
        <w:t xml:space="preserve"> </w:t>
      </w:r>
      <w:r>
        <w:rPr>
          <w:iCs/>
          <w:i/>
        </w:rPr>
        <w:t xml:space="preserve">taqwā</w:t>
      </w:r>
      <w:r>
        <w:t xml:space="preserve">;</w:t>
      </w:r>
      <w:r>
        <w:t xml:space="preserve"> </w:t>
      </w:r>
      <w:r>
        <w:rPr>
          <w:iCs/>
          <w:i/>
        </w:rPr>
        <w:t xml:space="preserve">raḥmat</w:t>
      </w:r>
      <w:r>
        <w:t xml:space="preserve">;</w:t>
      </w:r>
      <w:r>
        <w:t xml:space="preserve"> </w:t>
      </w:r>
      <w:r>
        <w:rPr>
          <w:iCs/>
          <w:i/>
        </w:rPr>
        <w:t xml:space="preserve">kāfir</w:t>
      </w:r>
    </w:p>
    <w:bookmarkStart w:id="20" w:name="introduction"/>
    <w:p>
      <w:pPr>
        <w:pStyle w:val="Heading1"/>
      </w:pPr>
      <w:r>
        <w:t xml:space="preserve">1. Introduction</w:t>
      </w:r>
    </w:p>
    <w:p>
      <w:pPr>
        <w:pStyle w:val="FirstParagraph"/>
      </w:pPr>
      <w:r>
        <w:t xml:space="preserve">When the source text is regarded by more than a billion readers as the speech of God, choosing an English word for one of its key terms is never a neutral substitution. Religious vocabulary carries layers of doctrinal and cultural history, and translations of sacred texts help shape how a tradition is understood by readers who cannot read the source (Naudé 2020). Three Qur’anic terms illustrate the problem particularly well:</w:t>
      </w:r>
    </w:p>
    <w:p>
      <w:pPr>
        <w:numPr>
          <w:ilvl w:val="0"/>
          <w:numId w:val="1001"/>
        </w:numPr>
        <w:pStyle w:val="Compact"/>
      </w:pPr>
      <w:r>
        <w:rPr>
          <w:iCs/>
          <w:i/>
          <w:bCs/>
          <w:b/>
        </w:rPr>
        <w:t xml:space="preserve">taqwā</w:t>
      </w:r>
      <w:r>
        <w:t xml:space="preserve"> </w:t>
      </w:r>
      <w:r>
        <w:t xml:space="preserve">(تقوى), usually rendered</w:t>
      </w:r>
      <w:r>
        <w:t xml:space="preserve"> </w:t>
      </w:r>
      <w:r>
        <w:rPr>
          <w:iCs/>
          <w:i/>
        </w:rPr>
        <w:t xml:space="preserve">righteousness</w:t>
      </w:r>
      <w:r>
        <w:t xml:space="preserve">,</w:t>
      </w:r>
      <w:r>
        <w:t xml:space="preserve"> </w:t>
      </w:r>
      <w:r>
        <w:rPr>
          <w:iCs/>
          <w:i/>
        </w:rPr>
        <w:t xml:space="preserve">piety</w:t>
      </w:r>
      <w:r>
        <w:t xml:space="preserve"> </w:t>
      </w:r>
      <w:r>
        <w:t xml:space="preserve">or</w:t>
      </w:r>
      <w:r>
        <w:t xml:space="preserve"> </w:t>
      </w:r>
      <w:r>
        <w:rPr>
          <w:iCs/>
          <w:i/>
        </w:rPr>
        <w:t xml:space="preserve">fear</w:t>
      </w:r>
      <w:r>
        <w:t xml:space="preserve">, which the Qur’an treats as the measure of a person’s standing before God;</w:t>
      </w:r>
    </w:p>
    <w:p>
      <w:pPr>
        <w:numPr>
          <w:ilvl w:val="0"/>
          <w:numId w:val="1001"/>
        </w:numPr>
        <w:pStyle w:val="Compact"/>
      </w:pPr>
      <w:r>
        <w:rPr>
          <w:iCs/>
          <w:i/>
          <w:bCs/>
          <w:b/>
        </w:rPr>
        <w:t xml:space="preserve">raḥmat</w:t>
      </w:r>
      <w:r>
        <w:t xml:space="preserve"> </w:t>
      </w:r>
      <w:r>
        <w:t xml:space="preserve">(رحمة), usually</w:t>
      </w:r>
      <w:r>
        <w:t xml:space="preserve"> </w:t>
      </w:r>
      <w:r>
        <w:rPr>
          <w:iCs/>
          <w:i/>
        </w:rPr>
        <w:t xml:space="preserve">mercy</w:t>
      </w:r>
      <w:r>
        <w:t xml:space="preserve">, whose root also gives the divine names</w:t>
      </w:r>
      <w:r>
        <w:t xml:space="preserve"> </w:t>
      </w:r>
      <w:r>
        <w:rPr>
          <w:iCs/>
          <w:i/>
        </w:rPr>
        <w:t xml:space="preserve">al-Raḥmān</w:t>
      </w:r>
      <w:r>
        <w:t xml:space="preserve"> </w:t>
      </w:r>
      <w:r>
        <w:t xml:space="preserve">and</w:t>
      </w:r>
      <w:r>
        <w:t xml:space="preserve"> </w:t>
      </w:r>
      <w:r>
        <w:rPr>
          <w:iCs/>
          <w:i/>
        </w:rPr>
        <w:t xml:space="preserve">al-Raḥīm</w:t>
      </w:r>
      <w:r>
        <w:t xml:space="preserve"> </w:t>
      </w:r>
      <w:r>
        <w:t xml:space="preserve">invoked at the opening of nearly every</w:t>
      </w:r>
      <w:r>
        <w:t xml:space="preserve"> </w:t>
      </w:r>
      <w:r>
        <w:rPr>
          <w:iCs/>
          <w:i/>
        </w:rPr>
        <w:t xml:space="preserve">sūrah</w:t>
      </w:r>
      <w:r>
        <w:t xml:space="preserve">;</w:t>
      </w:r>
    </w:p>
    <w:p>
      <w:pPr>
        <w:numPr>
          <w:ilvl w:val="0"/>
          <w:numId w:val="1001"/>
        </w:numPr>
        <w:pStyle w:val="Compact"/>
      </w:pPr>
      <w:r>
        <w:rPr>
          <w:iCs/>
          <w:i/>
          <w:bCs/>
          <w:b/>
        </w:rPr>
        <w:t xml:space="preserve">kāfir</w:t>
      </w:r>
      <w:r>
        <w:t xml:space="preserve"> </w:t>
      </w:r>
      <w:r>
        <w:t xml:space="preserve">(كافر), usually</w:t>
      </w:r>
      <w:r>
        <w:t xml:space="preserve"> </w:t>
      </w:r>
      <w:r>
        <w:rPr>
          <w:iCs/>
          <w:i/>
        </w:rPr>
        <w:t xml:space="preserve">disbeliever</w:t>
      </w:r>
      <w:r>
        <w:t xml:space="preserve">, which organises the Qur’an’s most consequential social and doctrinal distinction.</w:t>
      </w:r>
    </w:p>
    <w:p>
      <w:pPr>
        <w:pStyle w:val="FirstParagraph"/>
      </w:pPr>
      <w:r>
        <w:t xml:space="preserve">Research on these and similar terms has grown quickly. Recent studies document semantic loss when Qur’anic lexis is rendered literally (Al-Awd 2024; Albahiri and Alhaj 2024; Abdelkarim and Alhaj 2023). They catalogue the polysemy, ellipsis and culturally bound terminology that make the Qur’an resistant to full equivalence (Almjlad 2025). They also trace how translators’ theological and ideological commitments surface in lexical choices (Gunawan 2022; Suaidi and Arifin 2021; Erebih and Almanna 2026). Work on near-synonyms (Zitouni, Zemni and Abdul-Ghafour 2023), on single</w:t>
      </w:r>
      <w:r>
        <w:t xml:space="preserve"> </w:t>
      </w:r>
      <w:r>
        <w:rPr>
          <w:iCs/>
          <w:i/>
        </w:rPr>
        <w:t xml:space="preserve">sūrahs</w:t>
      </w:r>
      <w:r>
        <w:t xml:space="preserve"> </w:t>
      </w:r>
      <w:r>
        <w:t xml:space="preserve">(Alhamshary 2025; ElHajAhmed and El Halabi 2022), and on interfaith reception of key terms including</w:t>
      </w:r>
      <w:r>
        <w:t xml:space="preserve"> </w:t>
      </w:r>
      <w:r>
        <w:rPr>
          <w:iCs/>
          <w:i/>
        </w:rPr>
        <w:t xml:space="preserve">taqwā</w:t>
      </w:r>
      <w:r>
        <w:t xml:space="preserve"> </w:t>
      </w:r>
      <w:r>
        <w:t xml:space="preserve">(Aldeeb 2026) shows that individual renderings matter for how readers understand the text. Machine translation and large language models now add a further source of English equivalents that tend to</w:t>
      </w:r>
      <w:r>
        <w:t xml:space="preserve"> </w:t>
      </w:r>
      <w:r>
        <w:t xml:space="preserve">“</w:t>
      </w:r>
      <w:r>
        <w:t xml:space="preserve">neutralize</w:t>
      </w:r>
      <w:r>
        <w:t xml:space="preserve">”</w:t>
      </w:r>
      <w:r>
        <w:t xml:space="preserve"> </w:t>
      </w:r>
      <w:r>
        <w:t xml:space="preserve">lexical distinctions in favour of statistically frequent English terms (Shehab 2026).</w:t>
      </w:r>
    </w:p>
    <w:p>
      <w:pPr>
        <w:pStyle w:val="BodyText"/>
      </w:pPr>
      <w:r>
        <w:t xml:space="preserve">Two limitations remain common in this literature:</w:t>
      </w:r>
    </w:p>
    <w:p>
      <w:pPr>
        <w:numPr>
          <w:ilvl w:val="0"/>
          <w:numId w:val="1002"/>
        </w:numPr>
        <w:pStyle w:val="Compact"/>
      </w:pPr>
      <w:r>
        <w:rPr>
          <w:bCs/>
          <w:b/>
        </w:rPr>
        <w:t xml:space="preserve">Selective examples.</w:t>
      </w:r>
      <w:r>
        <w:t xml:space="preserve"> </w:t>
      </w:r>
      <w:r>
        <w:t xml:space="preserve">Most studies analyse hand-picked verses or a single</w:t>
      </w:r>
      <w:r>
        <w:t xml:space="preserve"> </w:t>
      </w:r>
      <w:r>
        <w:rPr>
          <w:iCs/>
          <w:i/>
        </w:rPr>
        <w:t xml:space="preserve">sūrah</w:t>
      </w:r>
      <w:r>
        <w:t xml:space="preserve">, so we know little about how a term is rendered across its whole distribution.</w:t>
      </w:r>
    </w:p>
    <w:p>
      <w:pPr>
        <w:numPr>
          <w:ilvl w:val="0"/>
          <w:numId w:val="1002"/>
        </w:numPr>
        <w:pStyle w:val="Compact"/>
      </w:pPr>
      <w:r>
        <w:rPr>
          <w:bCs/>
          <w:b/>
        </w:rPr>
        <w:t xml:space="preserve">Undifferentiated sources.</w:t>
      </w:r>
      <w:r>
        <w:t xml:space="preserve"> </w:t>
      </w:r>
      <w:r>
        <w:t xml:space="preserve">Studies rarely ask what kind of text supplies the English equivalent. A word-by-word interlinear gloss, a sentence-level translation and a machine output answer to different purposes. Treating them as interchangeable sources of</w:t>
      </w:r>
      <w:r>
        <w:t xml:space="preserve"> </w:t>
      </w:r>
      <w:r>
        <w:t xml:space="preserve">“</w:t>
      </w:r>
      <w:r>
        <w:t xml:space="preserve">the translation</w:t>
      </w:r>
      <w:r>
        <w:t xml:space="preserve">”</w:t>
      </w:r>
      <w:r>
        <w:t xml:space="preserve"> </w:t>
      </w:r>
      <w:r>
        <w:t xml:space="preserve">of a term blurs the question of where meaning is lost.</w:t>
      </w:r>
    </w:p>
    <w:p>
      <w:pPr>
        <w:pStyle w:val="FirstParagraph"/>
      </w:pPr>
      <w:r>
        <w:t xml:space="preserve">The Quranic Arabic Corpus (QAC; Dukes and Habash 2010; Dukes, Atwell and Habash 2013) is a useful place to address both problems. For every word of the Qur’an it provides morphological annotation, a lemma and root, and an English word-by-word gloss. It also displays seven complete English translations for each verse. Researchers can therefore retrieve the full distribution of a lemma and compare, token by token, how a documentary gloss and several sentence-level translations render it. The QAC’s documentation states that its word-by-word translation</w:t>
      </w:r>
      <w:r>
        <w:t xml:space="preserve"> </w:t>
      </w:r>
      <w:r>
        <w:t xml:space="preserve">“</w:t>
      </w:r>
      <w:r>
        <w:t xml:space="preserve">is not a new translation of the text</w:t>
      </w:r>
      <w:r>
        <w:t xml:space="preserve">”</w:t>
      </w:r>
      <w:r>
        <w:t xml:space="preserve"> </w:t>
      </w:r>
      <w:r>
        <w:t xml:space="preserve">but is</w:t>
      </w:r>
      <w:r>
        <w:t xml:space="preserve"> </w:t>
      </w:r>
      <w:r>
        <w:t xml:space="preserve">“</w:t>
      </w:r>
      <w:r>
        <w:t xml:space="preserve">based on standard and accepted sources</w:t>
      </w:r>
      <w:r>
        <w:t xml:space="preserve">”</w:t>
      </w:r>
      <w:r>
        <w:t xml:space="preserve"> </w:t>
      </w:r>
      <w:r>
        <w:t xml:space="preserve">and offered</w:t>
      </w:r>
      <w:r>
        <w:t xml:space="preserve"> </w:t>
      </w:r>
      <w:r>
        <w:t xml:space="preserve">“</w:t>
      </w:r>
      <w:r>
        <w:t xml:space="preserve">purely as a guide to meaning</w:t>
      </w:r>
      <w:r>
        <w:t xml:space="preserve">”</w:t>
      </w:r>
      <w:r>
        <w:t xml:space="preserve"> </w:t>
      </w:r>
      <w:r>
        <w:t xml:space="preserve">(Quranic Arabic Corpus n.d.). Earlier work, including the study from which this article is developed (Fathurrahman 2025), read the gloss layer as if it were a translation in its own right. This article revises that reading.</w:t>
      </w:r>
    </w:p>
    <w:p>
      <w:pPr>
        <w:pStyle w:val="BodyText"/>
      </w:pPr>
      <w:r>
        <w:t xml:space="preserve">It asks three questions:</w:t>
      </w:r>
    </w:p>
    <w:p>
      <w:pPr>
        <w:numPr>
          <w:ilvl w:val="0"/>
          <w:numId w:val="1003"/>
        </w:numPr>
        <w:pStyle w:val="Compact"/>
      </w:pPr>
      <w:r>
        <w:rPr>
          <w:bCs/>
          <w:b/>
        </w:rPr>
        <w:t xml:space="preserve">(RQ1)</w:t>
      </w:r>
      <w:r>
        <w:t xml:space="preserve"> </w:t>
      </w:r>
      <w:r>
        <w:t xml:space="preserve">What norm governs the English gloss of</w:t>
      </w:r>
      <w:r>
        <w:t xml:space="preserve"> </w:t>
      </w:r>
      <w:r>
        <w:rPr>
          <w:iCs/>
          <w:i/>
        </w:rPr>
        <w:t xml:space="preserve">taqwā</w:t>
      </w:r>
      <w:r>
        <w:t xml:space="preserve">,</w:t>
      </w:r>
      <w:r>
        <w:t xml:space="preserve"> </w:t>
      </w:r>
      <w:r>
        <w:rPr>
          <w:iCs/>
          <w:i/>
        </w:rPr>
        <w:t xml:space="preserve">raḥmat</w:t>
      </w:r>
      <w:r>
        <w:t xml:space="preserve"> </w:t>
      </w:r>
      <w:r>
        <w:t xml:space="preserve">and</w:t>
      </w:r>
      <w:r>
        <w:t xml:space="preserve"> </w:t>
      </w:r>
      <w:r>
        <w:rPr>
          <w:iCs/>
          <w:i/>
        </w:rPr>
        <w:t xml:space="preserve">kāfir</w:t>
      </w:r>
      <w:r>
        <w:t xml:space="preserve"> </w:t>
      </w:r>
      <w:r>
        <w:t xml:space="preserve">in the QAC, and under what conditions does the gloss depart from it?</w:t>
      </w:r>
    </w:p>
    <w:p>
      <w:pPr>
        <w:numPr>
          <w:ilvl w:val="0"/>
          <w:numId w:val="1003"/>
        </w:numPr>
        <w:pStyle w:val="Compact"/>
      </w:pPr>
      <w:r>
        <w:rPr>
          <w:bCs/>
          <w:b/>
        </w:rPr>
        <w:t xml:space="preserve">(RQ2)</w:t>
      </w:r>
      <w:r>
        <w:t xml:space="preserve"> </w:t>
      </w:r>
      <w:r>
        <w:t xml:space="preserve">How do five sentence-level translations displayed on the QAC render the same 158 tokens, and where do they converge with or diverge from the gloss?</w:t>
      </w:r>
    </w:p>
    <w:p>
      <w:pPr>
        <w:numPr>
          <w:ilvl w:val="0"/>
          <w:numId w:val="1003"/>
        </w:numPr>
        <w:pStyle w:val="Compact"/>
      </w:pPr>
      <w:r>
        <w:rPr>
          <w:bCs/>
          <w:b/>
        </w:rPr>
        <w:t xml:space="preserve">(RQ3)</w:t>
      </w:r>
      <w:r>
        <w:t xml:space="preserve"> </w:t>
      </w:r>
      <w:r>
        <w:t xml:space="preserve">Given these patterns, where does semantic narrowing actually occur, and what can glossing and translation practice do about it?</w:t>
      </w:r>
    </w:p>
    <w:p>
      <w:pPr>
        <w:pStyle w:val="FirstParagraph"/>
      </w:pPr>
      <w:r>
        <w:t xml:space="preserve">Section 2 sets out a framework that moves from equivalence to documentary translation and translation norms, combined with Baker’s account of lexical meaning and Izutsu’s Qur’anic semantic fields. Section 3 describes the data and coding. Section 4 reports the results term by term, and Sections 5 and 6 discuss their implications.</w:t>
      </w:r>
    </w:p>
    <w:bookmarkEnd w:id="20"/>
    <w:bookmarkStart w:id="25" w:name="theoretical-framework"/>
    <w:p>
      <w:pPr>
        <w:pStyle w:val="Heading1"/>
      </w:pPr>
      <w:r>
        <w:t xml:space="preserve">2. Theoretical framework</w:t>
      </w:r>
    </w:p>
    <w:bookmarkStart w:id="21" w:name="from-equivalence-to-norms"/>
    <w:p>
      <w:pPr>
        <w:pStyle w:val="Heading2"/>
      </w:pPr>
      <w:r>
        <w:t xml:space="preserve">2.1 From equivalence to norms</w:t>
      </w:r>
    </w:p>
    <w:p>
      <w:pPr>
        <w:pStyle w:val="FirstParagraph"/>
      </w:pPr>
      <w:r>
        <w:t xml:space="preserve">Nida and Taber (1982: 12) define translating as</w:t>
      </w:r>
      <w:r>
        <w:t xml:space="preserve"> </w:t>
      </w:r>
      <w:r>
        <w:t xml:space="preserve">“</w:t>
      </w:r>
      <w:r>
        <w:t xml:space="preserve">reproducing in the receptor language the closest natural equivalent of the source-language message, first in terms of meaning and secondly in terms of style</w:t>
      </w:r>
      <w:r>
        <w:t xml:space="preserve">”</w:t>
      </w:r>
      <w:r>
        <w:t xml:space="preserve">. Their contrast between formal correspondence, oriented to the form and content of the source message, and dynamic equivalence, oriented to the response of the receptor, has been the default lens for studies of Qur’an translation. It also framed the study from which this article is developed. Two problems limit its usefulness here.</w:t>
      </w:r>
    </w:p>
    <w:p>
      <w:pPr>
        <w:pStyle w:val="BodyText"/>
      </w:pPr>
      <w:r>
        <w:t xml:space="preserve">The first is that equivalence is not a property waiting to be discovered between two languages. Snell-Hornby (1988) called it an illusion of symmetry between languages. Pym (2023) shows that equivalence is better described as a belief that translations produce, or as a relation constructed in particular directions and for particular purposes. To classify a single English word as</w:t>
      </w:r>
      <w:r>
        <w:t xml:space="preserve"> </w:t>
      </w:r>
      <w:r>
        <w:t xml:space="preserve">“</w:t>
      </w:r>
      <w:r>
        <w:t xml:space="preserve">formal</w:t>
      </w:r>
      <w:r>
        <w:t xml:space="preserve">”</w:t>
      </w:r>
      <w:r>
        <w:t xml:space="preserve"> </w:t>
      </w:r>
      <w:r>
        <w:t xml:space="preserve">or</w:t>
      </w:r>
      <w:r>
        <w:t xml:space="preserve"> </w:t>
      </w:r>
      <w:r>
        <w:t xml:space="preserve">“</w:t>
      </w:r>
      <w:r>
        <w:t xml:space="preserve">dynamic</w:t>
      </w:r>
      <w:r>
        <w:t xml:space="preserve">”</w:t>
      </w:r>
      <w:r>
        <w:t xml:space="preserve"> </w:t>
      </w:r>
      <w:r>
        <w:t xml:space="preserve">therefore needs an explicit criterion of what is held constant. This article uses the lexeme (Section 3.3).</w:t>
      </w:r>
    </w:p>
    <w:p>
      <w:pPr>
        <w:pStyle w:val="BodyText"/>
      </w:pPr>
      <w:r>
        <w:t xml:space="preserve">The second problem is more specific. Nida himself placed one kind of translation at the far end of formal correspondence: the</w:t>
      </w:r>
      <w:r>
        <w:t xml:space="preserve"> </w:t>
      </w:r>
      <w:r>
        <w:t xml:space="preserve">“</w:t>
      </w:r>
      <w:r>
        <w:t xml:space="preserve">gloss translation</w:t>
      </w:r>
      <w:r>
        <w:t xml:space="preserve">”</w:t>
      </w:r>
      <w:r>
        <w:t xml:space="preserve">, designed to let a reader</w:t>
      </w:r>
      <w:r>
        <w:t xml:space="preserve"> </w:t>
      </w:r>
      <w:r>
        <w:t xml:space="preserve">“</w:t>
      </w:r>
      <w:r>
        <w:t xml:space="preserve">identify himself as fully as possible</w:t>
      </w:r>
      <w:r>
        <w:t xml:space="preserve">”</w:t>
      </w:r>
      <w:r>
        <w:t xml:space="preserve"> </w:t>
      </w:r>
      <w:r>
        <w:t xml:space="preserve">with the source context by following its form</w:t>
      </w:r>
      <w:r>
        <w:t xml:space="preserve"> </w:t>
      </w:r>
      <w:r>
        <w:t xml:space="preserve">“</w:t>
      </w:r>
      <w:r>
        <w:t xml:space="preserve">as literally and meaningfully as possible</w:t>
      </w:r>
      <w:r>
        <w:t xml:space="preserve">”</w:t>
      </w:r>
      <w:r>
        <w:t xml:space="preserve"> </w:t>
      </w:r>
      <w:r>
        <w:t xml:space="preserve">(Nida 1964: 159). An interlinear gloss is a gloss translation by design. Finding that such a gloss is overwhelmingly formal is close to tautological. The interesting questions are where it departs from its own formal default, and how its defaults compare with those of full translations.</w:t>
      </w:r>
    </w:p>
    <w:p>
      <w:pPr>
        <w:pStyle w:val="BodyText"/>
      </w:pPr>
      <w:r>
        <w:t xml:space="preserve">Descriptive Translation Studies offers a better account of such regularities. Toury (2012) treats translational behaviour as governed by norms: regularities that reflect what a community regards as appropriate for a given type of translation. He describes a tendency he calls the</w:t>
      </w:r>
      <w:r>
        <w:t xml:space="preserve"> </w:t>
      </w:r>
      <w:r>
        <w:t xml:space="preserve">“</w:t>
      </w:r>
      <w:r>
        <w:t xml:space="preserve">law of growing standardisation</w:t>
      </w:r>
      <w:r>
        <w:t xml:space="preserve">”</w:t>
      </w:r>
      <w:r>
        <w:t xml:space="preserve">, by which textual relations in the source are replaced by more habitual options in the target. A gloss layer that assigns one English word to every occurrence of a lemma is an extreme case of standardisation. That standardisation may be appropriate to the gloss’s function (letting learners trace a word back to its root and lemma) and still have consequences when users treat the gloss as an equivalent.</w:t>
      </w:r>
    </w:p>
    <w:bookmarkEnd w:id="21"/>
    <w:bookmarkStart w:id="22" w:name="X2fa669107b3701fc406e8f934d120371ea5093a"/>
    <w:p>
      <w:pPr>
        <w:pStyle w:val="Heading2"/>
      </w:pPr>
      <w:r>
        <w:t xml:space="preserve">2.2 Interlinear glossing as documentary translation</w:t>
      </w:r>
    </w:p>
    <w:p>
      <w:pPr>
        <w:pStyle w:val="FirstParagraph"/>
      </w:pPr>
      <w:r>
        <w:t xml:space="preserve">Nord’s functionalist typology (Nord 2018) makes this functional point explicit. Nord distinguishes</w:t>
      </w:r>
      <w:r>
        <w:t xml:space="preserve"> </w:t>
      </w:r>
      <w:r>
        <w:rPr>
          <w:iCs/>
          <w:i/>
        </w:rPr>
        <w:t xml:space="preserve">documentary</w:t>
      </w:r>
      <w:r>
        <w:t xml:space="preserve"> </w:t>
      </w:r>
      <w:r>
        <w:t xml:space="preserve">translations, which document a source-culture communication for target readers, from</w:t>
      </w:r>
      <w:r>
        <w:t xml:space="preserve"> </w:t>
      </w:r>
      <w:r>
        <w:rPr>
          <w:iCs/>
          <w:i/>
        </w:rPr>
        <w:t xml:space="preserve">instrumental</w:t>
      </w:r>
      <w:r>
        <w:t xml:space="preserve"> </w:t>
      </w:r>
      <w:r>
        <w:t xml:space="preserve">translations, which function as communicative instruments in their own right. Word-for-word or interlinear translation is her clearest example of a documentary form: it reproduces the morphology, lexis and syntax of the source to show how the source is built, not to communicate as a target text would.</w:t>
      </w:r>
    </w:p>
    <w:p>
      <w:pPr>
        <w:pStyle w:val="BodyText"/>
      </w:pPr>
      <w:r>
        <w:t xml:space="preserve">From this perspective, the QAC gloss and the sentence-level translations on the same page are not competing versions of one task:</w:t>
      </w:r>
    </w:p>
    <w:p>
      <w:pPr>
        <w:numPr>
          <w:ilvl w:val="0"/>
          <w:numId w:val="1004"/>
        </w:numPr>
        <w:pStyle w:val="Compact"/>
      </w:pPr>
      <w:r>
        <w:rPr>
          <w:bCs/>
          <w:b/>
        </w:rPr>
        <w:t xml:space="preserve">The gloss</w:t>
      </w:r>
      <w:r>
        <w:t xml:space="preserve"> </w:t>
      </w:r>
      <w:r>
        <w:t xml:space="preserve">documents the Arabic word by word, and its users expect a stable, retraceable correspondence.</w:t>
      </w:r>
    </w:p>
    <w:p>
      <w:pPr>
        <w:numPr>
          <w:ilvl w:val="0"/>
          <w:numId w:val="1004"/>
        </w:numPr>
        <w:pStyle w:val="Compact"/>
      </w:pPr>
      <w:r>
        <w:rPr>
          <w:bCs/>
          <w:b/>
        </w:rPr>
        <w:t xml:space="preserve">The sentence-level translations</w:t>
      </w:r>
      <w:r>
        <w:t xml:space="preserve"> </w:t>
      </w:r>
      <w:r>
        <w:t xml:space="preserve">are instrumental to different degrees. Arberry (1955) aims at a literary English Qur’an. Sahih International (1997) seeks clarity for a broad Muslim readership and uses square brackets for explicitation. Al-Hilali and Khan add parenthetical exegesis and transliterated terms. Pickthall (1930) and Yusuf Ali (1934) belong to an earlier, more archaising tradition.</w:t>
      </w:r>
    </w:p>
    <w:p>
      <w:pPr>
        <w:pStyle w:val="FirstParagraph"/>
      </w:pPr>
      <w:r>
        <w:t xml:space="preserve">Comparing how these two kinds of text render the same tokens shows which narrowing belongs to the documentary gloss as a genre, and which is shared by full translations and so reflects the difficulty of the term itself.</w:t>
      </w:r>
    </w:p>
    <w:bookmarkEnd w:id="22"/>
    <w:bookmarkStart w:id="23" w:name="X1a4e9138891b31250b40937c823e7c908a1fe5e"/>
    <w:p>
      <w:pPr>
        <w:pStyle w:val="Heading2"/>
      </w:pPr>
      <w:r>
        <w:t xml:space="preserve">2.3 Lexical meaning in context: Baker and Izutsu</w:t>
      </w:r>
    </w:p>
    <w:p>
      <w:pPr>
        <w:pStyle w:val="FirstParagraph"/>
      </w:pPr>
      <w:r>
        <w:t xml:space="preserve">To describe what a rendering keeps and what it loses, the article uses Baker’s (2018) distinction between four kinds of lexical meaning:</w:t>
      </w:r>
    </w:p>
    <w:p>
      <w:pPr>
        <w:numPr>
          <w:ilvl w:val="0"/>
          <w:numId w:val="1005"/>
        </w:numPr>
        <w:pStyle w:val="Compact"/>
      </w:pPr>
      <w:r>
        <w:rPr>
          <w:bCs/>
          <w:b/>
        </w:rPr>
        <w:t xml:space="preserve">propositional meaning</w:t>
      </w:r>
      <w:r>
        <w:t xml:space="preserve">, the relation between a word and what it refers to;</w:t>
      </w:r>
    </w:p>
    <w:p>
      <w:pPr>
        <w:numPr>
          <w:ilvl w:val="0"/>
          <w:numId w:val="1005"/>
        </w:numPr>
        <w:pStyle w:val="Compact"/>
      </w:pPr>
      <w:r>
        <w:rPr>
          <w:bCs/>
          <w:b/>
        </w:rPr>
        <w:t xml:space="preserve">expressive meaning</w:t>
      </w:r>
      <w:r>
        <w:t xml:space="preserve">, the speaker’s attitude;</w:t>
      </w:r>
    </w:p>
    <w:p>
      <w:pPr>
        <w:numPr>
          <w:ilvl w:val="0"/>
          <w:numId w:val="1005"/>
        </w:numPr>
        <w:pStyle w:val="Compact"/>
      </w:pPr>
      <w:r>
        <w:rPr>
          <w:bCs/>
          <w:b/>
        </w:rPr>
        <w:t xml:space="preserve">presupposed meaning</w:t>
      </w:r>
      <w:r>
        <w:t xml:space="preserve">, the selectional and collocational restrictions and shared assumptions that make a word appropriate;</w:t>
      </w:r>
    </w:p>
    <w:p>
      <w:pPr>
        <w:numPr>
          <w:ilvl w:val="0"/>
          <w:numId w:val="1005"/>
        </w:numPr>
        <w:pStyle w:val="Compact"/>
      </w:pPr>
      <w:r>
        <w:rPr>
          <w:bCs/>
          <w:b/>
        </w:rPr>
        <w:t xml:space="preserve">evoked meaning</w:t>
      </w:r>
      <w:r>
        <w:t xml:space="preserve">, the associations a word carries through dialect and register.</w:t>
      </w:r>
    </w:p>
    <w:p>
      <w:pPr>
        <w:pStyle w:val="FirstParagraph"/>
      </w:pPr>
      <w:r>
        <w:t xml:space="preserve">Baker also lists strategies for non-equivalence at word level. Among them is translation by a loan word or a loan word plus explanation, which corresponds to the</w:t>
      </w:r>
      <w:r>
        <w:t xml:space="preserve"> </w:t>
      </w:r>
      <w:r>
        <w:t xml:space="preserve">“</w:t>
      </w:r>
      <w:r>
        <w:t xml:space="preserve">retention</w:t>
      </w:r>
      <w:r>
        <w:t xml:space="preserve">”</w:t>
      </w:r>
      <w:r>
        <w:t xml:space="preserve"> </w:t>
      </w:r>
      <w:r>
        <w:t xml:space="preserve">strategy discussed below.</w:t>
      </w:r>
    </w:p>
    <w:p>
      <w:pPr>
        <w:pStyle w:val="BodyText"/>
      </w:pPr>
      <w:r>
        <w:t xml:space="preserve">Baker’s categories are general. They are complemented here by Izutsu’s (2002a, 2002b) semantic-field analysis of the Qur’an. Izutsu shows that key terms take much of their meaning from the fields they organise:</w:t>
      </w:r>
    </w:p>
    <w:p>
      <w:pPr>
        <w:numPr>
          <w:ilvl w:val="0"/>
          <w:numId w:val="1006"/>
        </w:numPr>
        <w:pStyle w:val="Compact"/>
      </w:pPr>
      <w:r>
        <w:rPr>
          <w:iCs/>
          <w:i/>
          <w:bCs/>
          <w:b/>
        </w:rPr>
        <w:t xml:space="preserve">kufr</w:t>
      </w:r>
      <w:r>
        <w:t xml:space="preserve"> </w:t>
      </w:r>
      <w:r>
        <w:t xml:space="preserve">stands opposite both</w:t>
      </w:r>
      <w:r>
        <w:t xml:space="preserve"> </w:t>
      </w:r>
      <w:r>
        <w:rPr>
          <w:iCs/>
          <w:i/>
        </w:rPr>
        <w:t xml:space="preserve">īmān</w:t>
      </w:r>
      <w:r>
        <w:t xml:space="preserve"> </w:t>
      </w:r>
      <w:r>
        <w:t xml:space="preserve">(belief) and</w:t>
      </w:r>
      <w:r>
        <w:t xml:space="preserve"> </w:t>
      </w:r>
      <w:r>
        <w:rPr>
          <w:iCs/>
          <w:i/>
        </w:rPr>
        <w:t xml:space="preserve">shukr</w:t>
      </w:r>
      <w:r>
        <w:t xml:space="preserve"> </w:t>
      </w:r>
      <w:r>
        <w:t xml:space="preserve">(gratitude), so ingratitude for divine favour is part of its core meaning, not a later extension;</w:t>
      </w:r>
    </w:p>
    <w:p>
      <w:pPr>
        <w:numPr>
          <w:ilvl w:val="0"/>
          <w:numId w:val="1006"/>
        </w:numPr>
        <w:pStyle w:val="Compact"/>
      </w:pPr>
      <w:r>
        <w:rPr>
          <w:iCs/>
          <w:i/>
          <w:bCs/>
          <w:b/>
        </w:rPr>
        <w:t xml:space="preserve">taqwā</w:t>
      </w:r>
      <w:r>
        <w:t xml:space="preserve"> </w:t>
      </w:r>
      <w:r>
        <w:t xml:space="preserve">belongs to a field of relational attitudes towards God, combining fear, guarding of the self and devotion;</w:t>
      </w:r>
    </w:p>
    <w:p>
      <w:pPr>
        <w:numPr>
          <w:ilvl w:val="0"/>
          <w:numId w:val="1006"/>
        </w:numPr>
        <w:pStyle w:val="Compact"/>
      </w:pPr>
      <w:r>
        <w:rPr>
          <w:iCs/>
          <w:i/>
          <w:bCs/>
          <w:b/>
        </w:rPr>
        <w:t xml:space="preserve">raḥmat</w:t>
      </w:r>
      <w:r>
        <w:t xml:space="preserve"> </w:t>
      </w:r>
      <w:r>
        <w:t xml:space="preserve">is tied to the divine names and to God’s concrete acts of benefit.</w:t>
      </w:r>
    </w:p>
    <w:p>
      <w:pPr>
        <w:pStyle w:val="FirstParagraph"/>
      </w:pPr>
      <w:r>
        <w:t xml:space="preserve">This internal semantics gives the analysis a criterion that comes from the Qur’an rather than from English dictionaries. Exegetical sources (Section 3.5) then show how classical commentators read particular tokens.</w:t>
      </w:r>
    </w:p>
    <w:bookmarkEnd w:id="23"/>
    <w:bookmarkStart w:id="24" w:name="Xa14db61efc8030f1e9114b351fc1f12c988db01"/>
    <w:p>
      <w:pPr>
        <w:pStyle w:val="Heading2"/>
      </w:pPr>
      <w:r>
        <w:t xml:space="preserve">2.4 Corpus-based translation studies and annotated resources</w:t>
      </w:r>
    </w:p>
    <w:p>
      <w:pPr>
        <w:pStyle w:val="FirstParagraph"/>
      </w:pPr>
      <w:r>
        <w:t xml:space="preserve">Corpus-based translation studies arose from the argument that regularities of translated language can be described only across large bodies of text, not from isolated examples (Baker 1993; Laviosa 2002). Its usual objects are parallel corpora, which align source texts with one or more translations, and comparable corpora, which set translated texts beside non-translated texts in the same language. The QAC is neither. It is an annotated monolingual corpus of Qur’anic Arabic with an aligned English gloss layer, displayed beside translations that the corpus does not itself align at word level. This affects what the resource can show.</w:t>
      </w:r>
    </w:p>
    <w:p>
      <w:pPr>
        <w:numPr>
          <w:ilvl w:val="0"/>
          <w:numId w:val="1007"/>
        </w:numPr>
        <w:pStyle w:val="Compact"/>
      </w:pPr>
      <w:r>
        <w:rPr>
          <w:bCs/>
          <w:b/>
        </w:rPr>
        <w:t xml:space="preserve">Gloss layer:</w:t>
      </w:r>
      <w:r>
        <w:t xml:space="preserve"> </w:t>
      </w:r>
      <w:r>
        <w:t xml:space="preserve">the QAC supports exhaustive, token-level description of its own gloss, which is rare and valuable.</w:t>
      </w:r>
    </w:p>
    <w:p>
      <w:pPr>
        <w:numPr>
          <w:ilvl w:val="0"/>
          <w:numId w:val="1007"/>
        </w:numPr>
        <w:pStyle w:val="Compact"/>
      </w:pPr>
      <w:r>
        <w:rPr>
          <w:bCs/>
          <w:b/>
        </w:rPr>
        <w:t xml:space="preserve">Sentence-level translations:</w:t>
      </w:r>
      <w:r>
        <w:t xml:space="preserve"> </w:t>
      </w:r>
      <w:r>
        <w:t xml:space="preserve">these can be compared only if the researcher locates the rendering of each token in each verse, as was done here.</w:t>
      </w:r>
    </w:p>
    <w:p>
      <w:pPr>
        <w:pStyle w:val="FirstParagraph"/>
      </w:pPr>
      <w:r>
        <w:t xml:space="preserve">Abdul-Raof (2023) and Hizbullah and Mutaali (2019) show the value of corpus methods for Qur’anic lexis. The present study adds a distinction that such work needs: the English equivalents a corpus displays are themselves texts with different functions, and a corpus-based claim about</w:t>
      </w:r>
      <w:r>
        <w:t xml:space="preserve"> </w:t>
      </w:r>
      <w:r>
        <w:t xml:space="preserve">“</w:t>
      </w:r>
      <w:r>
        <w:t xml:space="preserve">translation</w:t>
      </w:r>
      <w:r>
        <w:t xml:space="preserve">”</w:t>
      </w:r>
      <w:r>
        <w:t xml:space="preserve"> </w:t>
      </w:r>
      <w:r>
        <w:t xml:space="preserve">must name which text it describes.</w:t>
      </w:r>
    </w:p>
    <w:bookmarkEnd w:id="24"/>
    <w:bookmarkEnd w:id="25"/>
    <w:bookmarkStart w:id="31" w:name="data-and-method"/>
    <w:p>
      <w:pPr>
        <w:pStyle w:val="Heading1"/>
      </w:pPr>
      <w:r>
        <w:t xml:space="preserve">3. Data and method</w:t>
      </w:r>
    </w:p>
    <w:bookmarkStart w:id="26" w:name="the-quranic-arabic-corpus-and-its-layers"/>
    <w:p>
      <w:pPr>
        <w:pStyle w:val="Heading2"/>
      </w:pPr>
      <w:r>
        <w:t xml:space="preserve">3.1 The Quranic Arabic Corpus and its layers</w:t>
      </w:r>
    </w:p>
    <w:p>
      <w:pPr>
        <w:pStyle w:val="FirstParagraph"/>
      </w:pPr>
      <w:r>
        <w:t xml:space="preserve">The QAC (corpus.quran.com) was developed at the University of Leeds and is now maintained by the quran.com team. It annotates each of the 77,429 words of the Qur’an for part of speech, morphology, lemma and root. Its morphological annotation has been manually reviewed and is estimated at about 99 per cent accuracy (Dukes, Atwell and Habash 2013; Quranic Arabic Corpus n.d.). Four layers of the corpus are relevant here, and the study keeps them apart:</w:t>
      </w:r>
    </w:p>
    <w:p>
      <w:pPr>
        <w:numPr>
          <w:ilvl w:val="0"/>
          <w:numId w:val="1008"/>
        </w:numPr>
        <w:pStyle w:val="Compact"/>
      </w:pPr>
      <w:r>
        <w:rPr>
          <w:bCs/>
          <w:b/>
        </w:rPr>
        <w:t xml:space="preserve">the Arabic text</w:t>
      </w:r>
      <w:r>
        <w:t xml:space="preserve">, based on the Tanzil project;</w:t>
      </w:r>
    </w:p>
    <w:p>
      <w:pPr>
        <w:numPr>
          <w:ilvl w:val="0"/>
          <w:numId w:val="1008"/>
        </w:numPr>
        <w:pStyle w:val="Compact"/>
      </w:pPr>
      <w:r>
        <w:rPr>
          <w:bCs/>
          <w:b/>
        </w:rPr>
        <w:t xml:space="preserve">the morphological annotation</w:t>
      </w:r>
      <w:r>
        <w:t xml:space="preserve">, from which lemma-level concordances are generated;</w:t>
      </w:r>
    </w:p>
    <w:p>
      <w:pPr>
        <w:numPr>
          <w:ilvl w:val="0"/>
          <w:numId w:val="1008"/>
        </w:numPr>
        <w:pStyle w:val="Compact"/>
      </w:pPr>
      <w:r>
        <w:rPr>
          <w:bCs/>
          <w:b/>
        </w:rPr>
        <w:t xml:space="preserve">the English word-by-word gloss</w:t>
      </w:r>
      <w:r>
        <w:t xml:space="preserve"> </w:t>
      </w:r>
      <w:r>
        <w:t xml:space="preserve">attached to each word;</w:t>
      </w:r>
    </w:p>
    <w:p>
      <w:pPr>
        <w:numPr>
          <w:ilvl w:val="0"/>
          <w:numId w:val="1008"/>
        </w:numPr>
        <w:pStyle w:val="Compact"/>
      </w:pPr>
      <w:r>
        <w:rPr>
          <w:bCs/>
          <w:b/>
        </w:rPr>
        <w:t xml:space="preserve">seven English translations</w:t>
      </w:r>
      <w:r>
        <w:t xml:space="preserve"> </w:t>
      </w:r>
      <w:r>
        <w:t xml:space="preserve">displayed for each verse.</w:t>
      </w:r>
    </w:p>
    <w:p>
      <w:pPr>
        <w:pStyle w:val="FirstParagraph"/>
      </w:pPr>
      <w:r>
        <w:t xml:space="preserve">The research data in this article are the gloss (layer 3) and five of the verse translations (layer 4), all retrieved for tokens identified through layer 2. Each token is identified by its QAC location,</w:t>
      </w:r>
      <w:r>
        <w:t xml:space="preserve"> </w:t>
      </w:r>
      <w:r>
        <w:rPr>
          <w:iCs/>
          <w:i/>
        </w:rPr>
        <w:t xml:space="preserve">sūrah:verse:word</w:t>
      </w:r>
      <w:r>
        <w:t xml:space="preserve">. The data were first collected in August 2026 and re-verified against the live corpus on 28 October 2026. Because the QAC is maintained collaboratively and its glosses can be corrected, the token table is supplied as supplementary material.</w:t>
      </w:r>
    </w:p>
    <w:bookmarkEnd w:id="26"/>
    <w:bookmarkStart w:id="27" w:name="token-selection"/>
    <w:p>
      <w:pPr>
        <w:pStyle w:val="Heading2"/>
      </w:pPr>
      <w:r>
        <w:t xml:space="preserve">3.2 Token selection</w:t>
      </w:r>
    </w:p>
    <w:p>
      <w:pPr>
        <w:pStyle w:val="FirstParagraph"/>
      </w:pPr>
      <w:r>
        <w:t xml:space="preserve">Tokens were retrieved by</w:t>
      </w:r>
      <w:r>
        <w:t xml:space="preserve"> </w:t>
      </w:r>
      <w:r>
        <w:rPr>
          <w:bCs/>
          <w:b/>
        </w:rPr>
        <w:t xml:space="preserve">lemma</w:t>
      </w:r>
      <w:r>
        <w:t xml:space="preserve">, not by root. The three roots are far larger than the lemmas studied:</w:t>
      </w:r>
    </w:p>
    <w:tbl>
      <w:tblPr>
        <w:tblStyle w:val="Table"/>
        <w:tblW w:type="pct" w:w="5000"/>
        <w:tblLook w:firstRow="1" w:lastRow="0" w:firstColumn="0" w:lastColumn="0" w:noHBand="0" w:noVBand="0" w:val="0020"/>
        <w:jc w:val="start"/>
      </w:tblPr>
      <w:tblGrid>
        <w:gridCol w:w="1284"/>
        <w:gridCol w:w="1712"/>
        <w:gridCol w:w="3210"/>
        <w:gridCol w:w="1712"/>
      </w:tblGrid>
      <w:tr>
        <w:trPr>
          <w:tblHeader w:val="true"/>
        </w:trPr>
        <w:tc>
          <w:tcPr/>
          <w:p>
            <w:pPr>
              <w:pStyle w:val="Compact"/>
              <w:jc w:val="left"/>
            </w:pPr>
            <w:r>
              <w:t xml:space="preserve">Root</w:t>
            </w:r>
          </w:p>
        </w:tc>
        <w:tc>
          <w:tcPr/>
          <w:p>
            <w:pPr>
              <w:pStyle w:val="Compact"/>
              <w:jc w:val="left"/>
            </w:pPr>
            <w:r>
              <w:t xml:space="preserve">Tokens</w:t>
            </w:r>
          </w:p>
        </w:tc>
        <w:tc>
          <w:tcPr/>
          <w:p>
            <w:pPr>
              <w:pStyle w:val="Compact"/>
              <w:jc w:val="left"/>
            </w:pPr>
            <w:r>
              <w:t xml:space="preserve">Lemma studied</w:t>
            </w:r>
          </w:p>
        </w:tc>
        <w:tc>
          <w:tcPr/>
          <w:p>
            <w:pPr>
              <w:pStyle w:val="Compact"/>
              <w:jc w:val="left"/>
            </w:pPr>
            <w:r>
              <w:t xml:space="preserve">Tokens</w:t>
            </w:r>
          </w:p>
        </w:tc>
      </w:tr>
      <w:tr>
        <w:tc>
          <w:tcPr/>
          <w:p>
            <w:pPr>
              <w:pStyle w:val="Compact"/>
              <w:jc w:val="left"/>
            </w:pPr>
            <w:r>
              <w:t xml:space="preserve">w-q-y</w:t>
            </w:r>
          </w:p>
        </w:tc>
        <w:tc>
          <w:tcPr/>
          <w:p>
            <w:pPr>
              <w:pStyle w:val="Compact"/>
              <w:jc w:val="left"/>
            </w:pPr>
            <w:r>
              <w:t xml:space="preserve">258</w:t>
            </w:r>
          </w:p>
        </w:tc>
        <w:tc>
          <w:tcPr/>
          <w:p>
            <w:pPr>
              <w:pStyle w:val="Compact"/>
              <w:jc w:val="left"/>
            </w:pPr>
            <w:r>
              <w:t xml:space="preserve">noun</w:t>
            </w:r>
            <w:r>
              <w:t xml:space="preserve"> </w:t>
            </w:r>
            <w:r>
              <w:rPr>
                <w:iCs/>
                <w:i/>
              </w:rPr>
              <w:t xml:space="preserve">taqwā</w:t>
            </w:r>
          </w:p>
        </w:tc>
        <w:tc>
          <w:tcPr/>
          <w:p>
            <w:pPr>
              <w:pStyle w:val="Compact"/>
              <w:jc w:val="left"/>
            </w:pPr>
            <w:r>
              <w:t xml:space="preserve">17</w:t>
            </w:r>
          </w:p>
        </w:tc>
      </w:tr>
      <w:tr>
        <w:tc>
          <w:tcPr/>
          <w:p>
            <w:pPr>
              <w:pStyle w:val="Compact"/>
              <w:jc w:val="left"/>
            </w:pPr>
            <w:r>
              <w:t xml:space="preserve">r-ḥ-m</w:t>
            </w:r>
          </w:p>
        </w:tc>
        <w:tc>
          <w:tcPr/>
          <w:p>
            <w:pPr>
              <w:pStyle w:val="Compact"/>
              <w:jc w:val="left"/>
            </w:pPr>
            <w:r>
              <w:t xml:space="preserve">339</w:t>
            </w:r>
          </w:p>
        </w:tc>
        <w:tc>
          <w:tcPr/>
          <w:p>
            <w:pPr>
              <w:pStyle w:val="Compact"/>
              <w:jc w:val="left"/>
            </w:pPr>
            <w:r>
              <w:t xml:space="preserve">noun</w:t>
            </w:r>
            <w:r>
              <w:t xml:space="preserve"> </w:t>
            </w:r>
            <w:r>
              <w:rPr>
                <w:iCs/>
                <w:i/>
              </w:rPr>
              <w:t xml:space="preserve">raḥmat</w:t>
            </w:r>
          </w:p>
        </w:tc>
        <w:tc>
          <w:tcPr/>
          <w:p>
            <w:pPr>
              <w:pStyle w:val="Compact"/>
              <w:jc w:val="left"/>
            </w:pPr>
            <w:r>
              <w:t xml:space="preserve">114</w:t>
            </w:r>
          </w:p>
        </w:tc>
      </w:tr>
      <w:tr>
        <w:tc>
          <w:tcPr/>
          <w:p>
            <w:pPr>
              <w:pStyle w:val="Compact"/>
              <w:jc w:val="left"/>
            </w:pPr>
            <w:r>
              <w:t xml:space="preserve">k-f-r</w:t>
            </w:r>
          </w:p>
        </w:tc>
        <w:tc>
          <w:tcPr/>
          <w:p>
            <w:pPr>
              <w:pStyle w:val="Compact"/>
              <w:jc w:val="left"/>
            </w:pPr>
            <w:r>
              <w:t xml:space="preserve">525</w:t>
            </w:r>
          </w:p>
        </w:tc>
        <w:tc>
          <w:tcPr/>
          <w:p>
            <w:pPr>
              <w:pStyle w:val="Compact"/>
              <w:jc w:val="left"/>
            </w:pPr>
            <w:r>
              <w:t xml:space="preserve">noun</w:t>
            </w:r>
            <w:r>
              <w:t xml:space="preserve"> </w:t>
            </w:r>
            <w:r>
              <w:rPr>
                <w:iCs/>
                <w:i/>
              </w:rPr>
              <w:t xml:space="preserve">kāfir</w:t>
            </w:r>
            <w:r>
              <w:t xml:space="preserve"> </w:t>
            </w:r>
            <w:r>
              <w:t xml:space="preserve">(with the broken plurals</w:t>
            </w:r>
            <w:r>
              <w:t xml:space="preserve"> </w:t>
            </w:r>
            <w:r>
              <w:rPr>
                <w:iCs/>
                <w:i/>
              </w:rPr>
              <w:t xml:space="preserve">kuffār</w:t>
            </w:r>
            <w:r>
              <w:t xml:space="preserve"> </w:t>
            </w:r>
            <w:r>
              <w:t xml:space="preserve">and</w:t>
            </w:r>
            <w:r>
              <w:t xml:space="preserve"> </w:t>
            </w:r>
            <w:r>
              <w:rPr>
                <w:iCs/>
                <w:i/>
              </w:rPr>
              <w:t xml:space="preserve">kafara</w:t>
            </w:r>
            <w:r>
              <w:t xml:space="preserve">)</w:t>
            </w:r>
          </w:p>
        </w:tc>
        <w:tc>
          <w:tcPr/>
          <w:p>
            <w:pPr>
              <w:pStyle w:val="Compact"/>
              <w:jc w:val="left"/>
            </w:pPr>
            <w:r>
              <w:t xml:space="preserve">27</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158</w:t>
            </w:r>
          </w:p>
        </w:tc>
      </w:tr>
    </w:tbl>
    <w:p>
      <w:pPr>
        <w:pStyle w:val="BodyText"/>
      </w:pPr>
      <w:r>
        <w:t xml:space="preserve">The QAC lemmatises the sound plurals</w:t>
      </w:r>
      <w:r>
        <w:t xml:space="preserve"> </w:t>
      </w:r>
      <w:r>
        <w:rPr>
          <w:iCs/>
          <w:i/>
        </w:rPr>
        <w:t xml:space="preserve">kāfirūn/kāfirīn</w:t>
      </w:r>
      <w:r>
        <w:t xml:space="preserve"> </w:t>
      </w:r>
      <w:r>
        <w:t xml:space="preserve">separately, as an active participle (129 tokens), and lists</w:t>
      </w:r>
      <w:r>
        <w:t xml:space="preserve"> </w:t>
      </w:r>
      <w:r>
        <w:rPr>
          <w:iCs/>
          <w:i/>
        </w:rPr>
        <w:t xml:space="preserve">kāfirat</w:t>
      </w:r>
      <w:r>
        <w:t xml:space="preserve"> </w:t>
      </w:r>
      <w:r>
        <w:t xml:space="preserve">(1) and</w:t>
      </w:r>
      <w:r>
        <w:t xml:space="preserve"> </w:t>
      </w:r>
      <w:r>
        <w:rPr>
          <w:iCs/>
          <w:i/>
        </w:rPr>
        <w:t xml:space="preserve">kawāfir</w:t>
      </w:r>
      <w:r>
        <w:t xml:space="preserve"> </w:t>
      </w:r>
      <w:r>
        <w:t xml:space="preserve">(1) as further lemmas. These 131 tokens are reported as an extension of the</w:t>
      </w:r>
      <w:r>
        <w:t xml:space="preserve"> </w:t>
      </w:r>
      <w:r>
        <w:rPr>
          <w:iCs/>
          <w:i/>
        </w:rPr>
        <w:t xml:space="preserve">kāfir</w:t>
      </w:r>
      <w:r>
        <w:t xml:space="preserve"> </w:t>
      </w:r>
      <w:r>
        <w:t xml:space="preserve">analysis (Section 4.4). This gives a complete picture of the</w:t>
      </w:r>
      <w:r>
        <w:t xml:space="preserve"> </w:t>
      </w:r>
      <w:r>
        <w:rPr>
          <w:iCs/>
          <w:i/>
        </w:rPr>
        <w:t xml:space="preserve">kāfir</w:t>
      </w:r>
      <w:r>
        <w:t xml:space="preserve">-pattern without changing the original dataset.</w:t>
      </w:r>
    </w:p>
    <w:bookmarkEnd w:id="27"/>
    <w:bookmarkStart w:id="28" w:name="coding-the-gloss-layer"/>
    <w:p>
      <w:pPr>
        <w:pStyle w:val="Heading2"/>
      </w:pPr>
      <w:r>
        <w:t xml:space="preserve">3.3 Coding the gloss layer</w:t>
      </w:r>
    </w:p>
    <w:p>
      <w:pPr>
        <w:pStyle w:val="FirstParagraph"/>
      </w:pPr>
      <w:r>
        <w:t xml:space="preserve">Each gloss was coded as either the</w:t>
      </w:r>
      <w:r>
        <w:t xml:space="preserve"> </w:t>
      </w:r>
      <w:r>
        <w:rPr>
          <w:bCs/>
          <w:b/>
        </w:rPr>
        <w:t xml:space="preserve">default gloss</w:t>
      </w:r>
      <w:r>
        <w:t xml:space="preserve"> </w:t>
      </w:r>
      <w:r>
        <w:t xml:space="preserve">of its lemma or a</w:t>
      </w:r>
      <w:r>
        <w:t xml:space="preserve"> </w:t>
      </w:r>
      <w:r>
        <w:rPr>
          <w:bCs/>
          <w:b/>
        </w:rPr>
        <w:t xml:space="preserve">variant</w:t>
      </w:r>
      <w:r>
        <w:t xml:space="preserve">, using a lexeme-based criterion. The default is the most frequent English lexeme assigned to the lemma:</w:t>
      </w:r>
      <w:r>
        <w:t xml:space="preserve"> </w:t>
      </w:r>
      <w:r>
        <w:rPr>
          <w:iCs/>
          <w:i/>
        </w:rPr>
        <w:t xml:space="preserve">righteousness</w:t>
      </w:r>
      <w:r>
        <w:t xml:space="preserve">,</w:t>
      </w:r>
      <w:r>
        <w:t xml:space="preserve"> </w:t>
      </w:r>
      <w:r>
        <w:rPr>
          <w:iCs/>
          <w:i/>
        </w:rPr>
        <w:t xml:space="preserve">mercy</w:t>
      </w:r>
      <w:r>
        <w:t xml:space="preserve"> </w:t>
      </w:r>
      <w:r>
        <w:t xml:space="preserve">and</w:t>
      </w:r>
      <w:r>
        <w:t xml:space="preserve"> </w:t>
      </w:r>
      <w:r>
        <w:rPr>
          <w:iCs/>
          <w:i/>
        </w:rPr>
        <w:t xml:space="preserve">disbeliever</w:t>
      </w:r>
      <w:r>
        <w:t xml:space="preserve">. The criterion ignores articles, prepositions, possessives and bracketed material, so</w:t>
      </w:r>
      <w:r>
        <w:t xml:space="preserve"> </w:t>
      </w:r>
      <w:r>
        <w:rPr>
          <w:iCs/>
          <w:i/>
        </w:rPr>
        <w:t xml:space="preserve">His mercy</w:t>
      </w:r>
      <w:r>
        <w:t xml:space="preserve">,</w:t>
      </w:r>
      <w:r>
        <w:t xml:space="preserve"> </w:t>
      </w:r>
      <w:r>
        <w:rPr>
          <w:iCs/>
          <w:i/>
        </w:rPr>
        <w:t xml:space="preserve">(of) mercy</w:t>
      </w:r>
      <w:r>
        <w:t xml:space="preserve"> </w:t>
      </w:r>
      <w:r>
        <w:t xml:space="preserve">and</w:t>
      </w:r>
      <w:r>
        <w:t xml:space="preserve"> </w:t>
      </w:r>
      <w:r>
        <w:rPr>
          <w:iCs/>
          <w:i/>
        </w:rPr>
        <w:t xml:space="preserve">by Your mercy</w:t>
      </w:r>
      <w:r>
        <w:t xml:space="preserve"> </w:t>
      </w:r>
      <w:r>
        <w:t xml:space="preserve">all count as the default</w:t>
      </w:r>
      <w:r>
        <w:t xml:space="preserve"> </w:t>
      </w:r>
      <w:r>
        <w:rPr>
          <w:iCs/>
          <w:i/>
        </w:rPr>
        <w:t xml:space="preserve">mercy</w:t>
      </w:r>
      <w:r>
        <w:t xml:space="preserve">. A variant is any gloss built on a different lexeme (</w:t>
      </w:r>
      <w:r>
        <w:rPr>
          <w:iCs/>
          <w:i/>
        </w:rPr>
        <w:t xml:space="preserve">piety</w:t>
      </w:r>
      <w:r>
        <w:t xml:space="preserve">,</w:t>
      </w:r>
      <w:r>
        <w:t xml:space="preserve"> </w:t>
      </w:r>
      <w:r>
        <w:rPr>
          <w:iCs/>
          <w:i/>
        </w:rPr>
        <w:t xml:space="preserve">to be feared</w:t>
      </w:r>
      <w:r>
        <w:t xml:space="preserve">,</w:t>
      </w:r>
      <w:r>
        <w:t xml:space="preserve"> </w:t>
      </w:r>
      <w:r>
        <w:rPr>
          <w:iCs/>
          <w:i/>
        </w:rPr>
        <w:t xml:space="preserve">the tillers</w:t>
      </w:r>
      <w:r>
        <w:t xml:space="preserve">). This operationalises the earlier formal/dynamic labels: default glosses correspond to formal correspondence, and variants to departures from it.</w:t>
      </w:r>
    </w:p>
    <w:p>
      <w:pPr>
        <w:pStyle w:val="BodyText"/>
      </w:pPr>
      <w:r>
        <w:t xml:space="preserve">Applying the criterion consistently resolved one inconsistency in the original analysis. Six</w:t>
      </w:r>
      <w:r>
        <w:t xml:space="preserve"> </w:t>
      </w:r>
      <w:r>
        <w:rPr>
          <w:iCs/>
          <w:i/>
        </w:rPr>
        <w:t xml:space="preserve">raḥmat</w:t>
      </w:r>
      <w:r>
        <w:t xml:space="preserve"> </w:t>
      </w:r>
      <w:r>
        <w:t xml:space="preserve">tokens had been labelled dynamic because of their possessive pronouns. Under the lexeme criterion they are default glosses.</w:t>
      </w:r>
    </w:p>
    <w:bookmarkEnd w:id="28"/>
    <w:bookmarkStart w:id="29" w:name="coding-the-sentence-level-translations"/>
    <w:p>
      <w:pPr>
        <w:pStyle w:val="Heading2"/>
      </w:pPr>
      <w:r>
        <w:t xml:space="preserve">3.4 Coding the sentence-level translations</w:t>
      </w:r>
    </w:p>
    <w:p>
      <w:pPr>
        <w:pStyle w:val="FirstParagraph"/>
      </w:pPr>
      <w:r>
        <w:t xml:space="preserve">For each token, the rendering in five of the QAC’s verse translations was located and assigned to a lexical family: Sahih International (SI), Pickthall (PI), Yusuf Ali (YA), Arberry (AR) and al-Hilali and Khan (HK). These five were chosen because they span the main English traditions available on the platform.</w:t>
      </w:r>
    </w:p>
    <w:p>
      <w:pPr>
        <w:numPr>
          <w:ilvl w:val="0"/>
          <w:numId w:val="1009"/>
        </w:numPr>
        <w:pStyle w:val="Compact"/>
      </w:pPr>
      <w:r>
        <w:rPr>
          <w:iCs/>
          <w:i/>
          <w:bCs/>
          <w:b/>
        </w:rPr>
        <w:t xml:space="preserve">taqwā</w:t>
      </w:r>
      <w:r>
        <w:rPr>
          <w:bCs/>
          <w:b/>
        </w:rPr>
        <w:t xml:space="preserve"> </w:t>
      </w:r>
      <w:r>
        <w:rPr>
          <w:bCs/>
          <w:b/>
        </w:rPr>
        <w:t xml:space="preserve">(17 tokens) and</w:t>
      </w:r>
      <w:r>
        <w:rPr>
          <w:bCs/>
          <w:b/>
        </w:rPr>
        <w:t xml:space="preserve"> </w:t>
      </w:r>
      <w:r>
        <w:rPr>
          <w:iCs/>
          <w:i/>
          <w:bCs/>
          <w:b/>
        </w:rPr>
        <w:t xml:space="preserve">kāfir</w:t>
      </w:r>
      <w:r>
        <w:rPr>
          <w:bCs/>
          <w:b/>
        </w:rPr>
        <w:t xml:space="preserve"> </w:t>
      </w:r>
      <w:r>
        <w:rPr>
          <w:bCs/>
          <w:b/>
        </w:rPr>
        <w:t xml:space="preserve">(27 tokens):</w:t>
      </w:r>
      <w:r>
        <w:t xml:space="preserve"> </w:t>
      </w:r>
      <w:r>
        <w:t xml:space="preserve">coded by reading every verse.</w:t>
      </w:r>
    </w:p>
    <w:p>
      <w:pPr>
        <w:numPr>
          <w:ilvl w:val="0"/>
          <w:numId w:val="1009"/>
        </w:numPr>
        <w:pStyle w:val="Compact"/>
      </w:pPr>
      <w:r>
        <w:rPr>
          <w:iCs/>
          <w:i/>
          <w:bCs/>
          <w:b/>
        </w:rPr>
        <w:t xml:space="preserve">raḥmat</w:t>
      </w:r>
      <w:r>
        <w:rPr>
          <w:bCs/>
          <w:b/>
        </w:rPr>
        <w:t xml:space="preserve"> </w:t>
      </w:r>
      <w:r>
        <w:rPr>
          <w:bCs/>
          <w:b/>
        </w:rPr>
        <w:t xml:space="preserve">(114 tokens):</w:t>
      </w:r>
      <w:r>
        <w:t xml:space="preserve"> </w:t>
      </w:r>
      <w:r>
        <w:t xml:space="preserve">first screened automatically for the presence of the</w:t>
      </w:r>
      <w:r>
        <w:t xml:space="preserve"> </w:t>
      </w:r>
      <w:r>
        <w:rPr>
          <w:iCs/>
          <w:i/>
        </w:rPr>
        <w:t xml:space="preserve">mercy</w:t>
      </w:r>
      <w:r>
        <w:t xml:space="preserve"> </w:t>
      </w:r>
      <w:r>
        <w:t xml:space="preserve">family in each verse, then every verse in which it was absent or present only adjectivally was read manually.</w:t>
      </w:r>
    </w:p>
    <w:p>
      <w:pPr>
        <w:pStyle w:val="FirstParagraph"/>
      </w:pPr>
      <w:r>
        <w:t xml:space="preserve">The families are:</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Term</w:t>
            </w:r>
          </w:p>
        </w:tc>
        <w:tc>
          <w:tcPr/>
          <w:p>
            <w:pPr>
              <w:pStyle w:val="Compact"/>
              <w:jc w:val="left"/>
            </w:pPr>
            <w:r>
              <w:t xml:space="preserve">Families</w:t>
            </w:r>
          </w:p>
        </w:tc>
      </w:tr>
      <w:tr>
        <w:tc>
          <w:tcPr/>
          <w:p>
            <w:pPr>
              <w:pStyle w:val="Compact"/>
              <w:jc w:val="left"/>
            </w:pPr>
            <w:r>
              <w:rPr>
                <w:iCs/>
                <w:i/>
              </w:rPr>
              <w:t xml:space="preserve">taqwā</w:t>
            </w:r>
          </w:p>
        </w:tc>
        <w:tc>
          <w:tcPr/>
          <w:p>
            <w:pPr>
              <w:pStyle w:val="Compact"/>
              <w:jc w:val="left"/>
            </w:pPr>
            <w:r>
              <w:t xml:space="preserve">righteousness/right; piety/devotion; fear; duty; restraint/protection; retention plus gloss</w:t>
            </w:r>
          </w:p>
        </w:tc>
      </w:tr>
      <w:tr>
        <w:tc>
          <w:tcPr/>
          <w:p>
            <w:pPr>
              <w:pStyle w:val="Compact"/>
              <w:jc w:val="left"/>
            </w:pPr>
            <w:r>
              <w:rPr>
                <w:iCs/>
                <w:i/>
              </w:rPr>
              <w:t xml:space="preserve">raḥmat</w:t>
            </w:r>
          </w:p>
        </w:tc>
        <w:tc>
          <w:tcPr/>
          <w:p>
            <w:pPr>
              <w:pStyle w:val="Compact"/>
              <w:jc w:val="left"/>
            </w:pPr>
            <w:r>
              <w:t xml:space="preserve">mercy; grace; compassion; zero rendering</w:t>
            </w:r>
          </w:p>
        </w:tc>
      </w:tr>
      <w:tr>
        <w:tc>
          <w:tcPr/>
          <w:p>
            <w:pPr>
              <w:pStyle w:val="Compact"/>
              <w:jc w:val="left"/>
            </w:pPr>
            <w:r>
              <w:rPr>
                <w:iCs/>
                <w:i/>
              </w:rPr>
              <w:t xml:space="preserve">kāfir</w:t>
            </w:r>
          </w:p>
        </w:tc>
        <w:tc>
          <w:tcPr/>
          <w:p>
            <w:pPr>
              <w:pStyle w:val="Compact"/>
              <w:jc w:val="left"/>
            </w:pPr>
            <w:r>
              <w:t xml:space="preserve">agentive noun; verbal reformulation; abstract noun; agricultural sense; retention plus gloss</w:t>
            </w:r>
          </w:p>
        </w:tc>
      </w:tr>
    </w:tbl>
    <w:p>
      <w:pPr>
        <w:pStyle w:val="BodyText"/>
      </w:pPr>
      <w:r>
        <w:t xml:space="preserve">Only these short renderings were recorded, never full verses, in keeping with the copyright of the individual translations.</w:t>
      </w:r>
    </w:p>
    <w:bookmarkEnd w:id="29"/>
    <w:bookmarkStart w:id="30" w:name="exegetical-reading-and-reliability"/>
    <w:p>
      <w:pPr>
        <w:pStyle w:val="Heading2"/>
      </w:pPr>
      <w:r>
        <w:t xml:space="preserve">3.5 Exegetical reading and reliability</w:t>
      </w:r>
    </w:p>
    <w:p>
      <w:pPr>
        <w:pStyle w:val="FirstParagraph"/>
      </w:pPr>
      <w:r>
        <w:t xml:space="preserve">Selected tokens were read against classical lexicographical and exegetical sources:</w:t>
      </w:r>
    </w:p>
    <w:p>
      <w:pPr>
        <w:numPr>
          <w:ilvl w:val="0"/>
          <w:numId w:val="1010"/>
        </w:numPr>
        <w:pStyle w:val="Compact"/>
      </w:pPr>
      <w:r>
        <w:t xml:space="preserve">al-Rāghib al-Aṣfahānī’s</w:t>
      </w:r>
      <w:r>
        <w:t xml:space="preserve"> </w:t>
      </w:r>
      <w:r>
        <w:rPr>
          <w:iCs/>
          <w:i/>
        </w:rPr>
        <w:t xml:space="preserve">al-Mufradāt</w:t>
      </w:r>
      <w:r>
        <w:t xml:space="preserve">;</w:t>
      </w:r>
    </w:p>
    <w:p>
      <w:pPr>
        <w:numPr>
          <w:ilvl w:val="0"/>
          <w:numId w:val="1010"/>
        </w:numPr>
        <w:pStyle w:val="Compact"/>
      </w:pPr>
      <w:r>
        <w:t xml:space="preserve">the commentaries of al-Ṭabarī, al-Qurṭubī and Ibn Kathīr;</w:t>
      </w:r>
    </w:p>
    <w:p>
      <w:pPr>
        <w:numPr>
          <w:ilvl w:val="0"/>
          <w:numId w:val="1010"/>
        </w:numPr>
        <w:pStyle w:val="Compact"/>
      </w:pPr>
      <w:r>
        <w:t xml:space="preserve">al-Jurjānī’s</w:t>
      </w:r>
      <w:r>
        <w:t xml:space="preserve"> </w:t>
      </w:r>
      <w:r>
        <w:rPr>
          <w:iCs/>
          <w:i/>
        </w:rPr>
        <w:t xml:space="preserve">al-Taʿrīfāt</w:t>
      </w:r>
      <w:r>
        <w:t xml:space="preserve">;</w:t>
      </w:r>
    </w:p>
    <w:p>
      <w:pPr>
        <w:numPr>
          <w:ilvl w:val="0"/>
          <w:numId w:val="1010"/>
        </w:numPr>
        <w:pStyle w:val="Compact"/>
      </w:pPr>
      <w:r>
        <w:t xml:space="preserve">al-Ghazālī’s</w:t>
      </w:r>
      <w:r>
        <w:t xml:space="preserve"> </w:t>
      </w:r>
      <w:r>
        <w:rPr>
          <w:iCs/>
          <w:i/>
        </w:rPr>
        <w:t xml:space="preserve">Iḥyāʾ</w:t>
      </w:r>
      <w:r>
        <w:t xml:space="preserve">.</w:t>
      </w:r>
    </w:p>
    <w:p>
      <w:pPr>
        <w:pStyle w:val="FirstParagraph"/>
      </w:pPr>
      <w:r>
        <w:t xml:space="preserve">These readings are reported as positions documented in named works, not as the single correct meaning of a verse. Coding was done by a single coder, the author. To make it checkable, the full token table, with QAC locations, glosses, original and revised codes, and the five renderings, is provided as supplementary data.</w:t>
      </w:r>
    </w:p>
    <w:bookmarkEnd w:id="30"/>
    <w:bookmarkEnd w:id="31"/>
    <w:bookmarkStart w:id="36" w:name="results"/>
    <w:p>
      <w:pPr>
        <w:pStyle w:val="Heading1"/>
      </w:pPr>
      <w:r>
        <w:t xml:space="preserve">4. Results</w:t>
      </w:r>
    </w:p>
    <w:bookmarkStart w:id="32" w:name="X2049c02ec62267cc7f40d1ae2471c73a69c2856"/>
    <w:p>
      <w:pPr>
        <w:pStyle w:val="Heading2"/>
      </w:pPr>
      <w:r>
        <w:t xml:space="preserve">4.1 The gloss layer: one default, seven variants</w:t>
      </w:r>
    </w:p>
    <w:p>
      <w:pPr>
        <w:pStyle w:val="FirstParagraph"/>
      </w:pPr>
      <w:r>
        <w:t xml:space="preserve">Table 1 confirms the overall pattern reported in the original study. It also shows that the variants are not random.</w:t>
      </w:r>
    </w:p>
    <w:p>
      <w:pPr>
        <w:pStyle w:val="BodyText"/>
      </w:pPr>
      <w:r>
        <w:rPr>
          <w:iCs/>
          <w:i/>
        </w:rPr>
        <w:t xml:space="preserve">Table 1. Default and variant glosses in the QAC word-by-word layer</w:t>
      </w:r>
    </w:p>
    <w:tbl>
      <w:tblPr>
        <w:tblStyle w:val="Table"/>
        <w:tblW w:type="pct" w:w="5000"/>
        <w:tblLook w:firstRow="1" w:lastRow="0" w:firstColumn="0" w:lastColumn="0" w:noHBand="0" w:noVBand="0" w:val="0020"/>
        <w:jc w:val="start"/>
      </w:tblPr>
      <w:tblGrid>
        <w:gridCol w:w="827"/>
        <w:gridCol w:w="945"/>
        <w:gridCol w:w="1773"/>
        <w:gridCol w:w="1063"/>
        <w:gridCol w:w="3309"/>
      </w:tblGrid>
      <w:tr>
        <w:trPr>
          <w:tblHeader w:val="true"/>
        </w:trPr>
        <w:tc>
          <w:tcPr/>
          <w:p>
            <w:pPr>
              <w:pStyle w:val="Compact"/>
              <w:jc w:val="left"/>
            </w:pPr>
            <w:r>
              <w:t xml:space="preserve">Lemma</w:t>
            </w:r>
          </w:p>
        </w:tc>
        <w:tc>
          <w:tcPr/>
          <w:p>
            <w:pPr>
              <w:pStyle w:val="Compact"/>
              <w:jc w:val="right"/>
            </w:pPr>
            <w:r>
              <w:t xml:space="preserve">Tokens</w:t>
            </w:r>
          </w:p>
        </w:tc>
        <w:tc>
          <w:tcPr/>
          <w:p>
            <w:pPr>
              <w:pStyle w:val="Compact"/>
              <w:jc w:val="left"/>
            </w:pPr>
            <w:r>
              <w:t xml:space="preserve">Default gloss</w:t>
            </w:r>
          </w:p>
        </w:tc>
        <w:tc>
          <w:tcPr/>
          <w:p>
            <w:pPr>
              <w:pStyle w:val="Compact"/>
              <w:jc w:val="right"/>
            </w:pPr>
            <w:r>
              <w:t xml:space="preserve">Default</w:t>
            </w:r>
          </w:p>
        </w:tc>
        <w:tc>
          <w:tcPr/>
          <w:p>
            <w:pPr>
              <w:pStyle w:val="Compact"/>
              <w:jc w:val="left"/>
            </w:pPr>
            <w:r>
              <w:t xml:space="preserve">Variants (gloss, location)</w:t>
            </w:r>
          </w:p>
        </w:tc>
      </w:tr>
      <w:tr>
        <w:tc>
          <w:tcPr/>
          <w:p>
            <w:pPr>
              <w:pStyle w:val="Compact"/>
              <w:jc w:val="left"/>
            </w:pPr>
            <w:r>
              <w:rPr>
                <w:iCs/>
                <w:i/>
              </w:rPr>
              <w:t xml:space="preserve">taqwā</w:t>
            </w:r>
          </w:p>
        </w:tc>
        <w:tc>
          <w:tcPr/>
          <w:p>
            <w:pPr>
              <w:pStyle w:val="Compact"/>
              <w:jc w:val="right"/>
            </w:pPr>
            <w:r>
              <w:t xml:space="preserve">17</w:t>
            </w:r>
          </w:p>
        </w:tc>
        <w:tc>
          <w:tcPr/>
          <w:p>
            <w:pPr>
              <w:pStyle w:val="Compact"/>
              <w:jc w:val="left"/>
            </w:pPr>
            <w:r>
              <w:t xml:space="preserve">righteousness</w:t>
            </w:r>
          </w:p>
        </w:tc>
        <w:tc>
          <w:tcPr/>
          <w:p>
            <w:pPr>
              <w:pStyle w:val="Compact"/>
              <w:jc w:val="right"/>
            </w:pPr>
            <w:r>
              <w:t xml:space="preserve">11</w:t>
            </w:r>
          </w:p>
        </w:tc>
        <w:tc>
          <w:tcPr/>
          <w:p>
            <w:pPr>
              <w:pStyle w:val="Compact"/>
              <w:jc w:val="left"/>
            </w:pPr>
            <w:r>
              <w:rPr>
                <w:iCs/>
                <w:i/>
              </w:rPr>
              <w:t xml:space="preserve">piety</w:t>
            </w:r>
            <w:r>
              <w:t xml:space="preserve"> </w:t>
            </w:r>
            <w:r>
              <w:t xml:space="preserve">(5:2, 5:8, 22:32, 22:37, 58:9);</w:t>
            </w:r>
            <w:r>
              <w:t xml:space="preserve"> </w:t>
            </w:r>
            <w:r>
              <w:rPr>
                <w:iCs/>
                <w:i/>
              </w:rPr>
              <w:t xml:space="preserve">to be feared</w:t>
            </w:r>
            <w:r>
              <w:t xml:space="preserve"> </w:t>
            </w:r>
            <w:r>
              <w:t xml:space="preserve">(74:56)</w:t>
            </w:r>
          </w:p>
        </w:tc>
      </w:tr>
      <w:tr>
        <w:tc>
          <w:tcPr/>
          <w:p>
            <w:pPr>
              <w:pStyle w:val="Compact"/>
              <w:jc w:val="left"/>
            </w:pPr>
            <w:r>
              <w:rPr>
                <w:iCs/>
                <w:i/>
              </w:rPr>
              <w:t xml:space="preserve">raḥmat</w:t>
            </w:r>
          </w:p>
        </w:tc>
        <w:tc>
          <w:tcPr/>
          <w:p>
            <w:pPr>
              <w:pStyle w:val="Compact"/>
              <w:jc w:val="right"/>
            </w:pPr>
            <w:r>
              <w:t xml:space="preserve">114</w:t>
            </w:r>
          </w:p>
        </w:tc>
        <w:tc>
          <w:tcPr/>
          <w:p>
            <w:pPr>
              <w:pStyle w:val="Compact"/>
              <w:jc w:val="left"/>
            </w:pPr>
            <w:r>
              <w:t xml:space="preserve">mercy</w:t>
            </w:r>
          </w:p>
        </w:tc>
        <w:tc>
          <w:tcPr/>
          <w:p>
            <w:pPr>
              <w:pStyle w:val="Compact"/>
              <w:jc w:val="right"/>
            </w:pPr>
            <w:r>
              <w:t xml:space="preserve">114</w:t>
            </w:r>
          </w:p>
        </w:tc>
        <w:tc>
          <w:tcPr/>
          <w:p>
            <w:pPr>
              <w:pStyle w:val="Compact"/>
              <w:jc w:val="left"/>
            </w:pPr>
            <w:r>
              <w:t xml:space="preserve">none</w:t>
            </w:r>
          </w:p>
        </w:tc>
      </w:tr>
      <w:tr>
        <w:tc>
          <w:tcPr/>
          <w:p>
            <w:pPr>
              <w:pStyle w:val="Compact"/>
              <w:jc w:val="left"/>
            </w:pPr>
            <w:r>
              <w:rPr>
                <w:iCs/>
                <w:i/>
              </w:rPr>
              <w:t xml:space="preserve">kāfir</w:t>
            </w:r>
            <w:r>
              <w:t xml:space="preserve"> </w:t>
            </w:r>
            <w:r>
              <w:t xml:space="preserve">(noun)</w:t>
            </w:r>
          </w:p>
        </w:tc>
        <w:tc>
          <w:tcPr/>
          <w:p>
            <w:pPr>
              <w:pStyle w:val="Compact"/>
              <w:jc w:val="right"/>
            </w:pPr>
            <w:r>
              <w:t xml:space="preserve">27</w:t>
            </w:r>
          </w:p>
        </w:tc>
        <w:tc>
          <w:tcPr/>
          <w:p>
            <w:pPr>
              <w:pStyle w:val="Compact"/>
              <w:jc w:val="left"/>
            </w:pPr>
            <w:r>
              <w:t xml:space="preserve">disbeliever</w:t>
            </w:r>
          </w:p>
        </w:tc>
        <w:tc>
          <w:tcPr/>
          <w:p>
            <w:pPr>
              <w:pStyle w:val="Compact"/>
              <w:jc w:val="right"/>
            </w:pPr>
            <w:r>
              <w:t xml:space="preserve">26</w:t>
            </w:r>
          </w:p>
        </w:tc>
        <w:tc>
          <w:tcPr/>
          <w:p>
            <w:pPr>
              <w:pStyle w:val="Compact"/>
              <w:jc w:val="left"/>
            </w:pPr>
            <w:r>
              <w:rPr>
                <w:iCs/>
                <w:i/>
              </w:rPr>
              <w:t xml:space="preserve">the tillers</w:t>
            </w:r>
            <w:r>
              <w:t xml:space="preserve"> </w:t>
            </w:r>
            <w:r>
              <w:t xml:space="preserve">(57:20)</w:t>
            </w:r>
          </w:p>
        </w:tc>
      </w:tr>
      <w:tr>
        <w:tc>
          <w:tcPr/>
          <w:p>
            <w:pPr>
              <w:pStyle w:val="Compact"/>
              <w:jc w:val="left"/>
            </w:pPr>
            <w:r>
              <w:rPr>
                <w:bCs/>
                <w:b/>
              </w:rPr>
              <w:t xml:space="preserve">Total</w:t>
            </w:r>
          </w:p>
        </w:tc>
        <w:tc>
          <w:tcPr/>
          <w:p>
            <w:pPr>
              <w:pStyle w:val="Compact"/>
              <w:jc w:val="right"/>
            </w:pPr>
            <w:r>
              <w:rPr>
                <w:bCs/>
                <w:b/>
              </w:rPr>
              <w:t xml:space="preserve">158</w:t>
            </w:r>
          </w:p>
        </w:tc>
        <w:tc>
          <w:tcPr/>
          <w:p>
            <w:pPr>
              <w:pStyle w:val="Compact"/>
            </w:pPr>
          </w:p>
        </w:tc>
        <w:tc>
          <w:tcPr/>
          <w:p>
            <w:pPr>
              <w:pStyle w:val="Compact"/>
              <w:jc w:val="right"/>
            </w:pPr>
            <w:r>
              <w:rPr>
                <w:bCs/>
                <w:b/>
              </w:rPr>
              <w:t xml:space="preserve">151 (95.6%)</w:t>
            </w:r>
          </w:p>
        </w:tc>
        <w:tc>
          <w:tcPr/>
          <w:p>
            <w:pPr>
              <w:pStyle w:val="Compact"/>
              <w:jc w:val="left"/>
            </w:pPr>
            <w:r>
              <w:rPr>
                <w:bCs/>
                <w:b/>
              </w:rPr>
              <w:t xml:space="preserve">7 (4.4%)</w:t>
            </w:r>
          </w:p>
        </w:tc>
      </w:tr>
      <w:tr>
        <w:tc>
          <w:tcPr/>
          <w:p>
            <w:pPr>
              <w:pStyle w:val="Compact"/>
              <w:jc w:val="left"/>
            </w:pPr>
            <w:r>
              <w:rPr>
                <w:iCs/>
                <w:i/>
              </w:rPr>
              <w:t xml:space="preserve">kāfir</w:t>
            </w:r>
            <w:r>
              <w:t xml:space="preserve">-pattern extension</w:t>
            </w:r>
          </w:p>
        </w:tc>
        <w:tc>
          <w:tcPr/>
          <w:p>
            <w:pPr>
              <w:pStyle w:val="Compact"/>
              <w:jc w:val="right"/>
            </w:pPr>
            <w:r>
              <w:t xml:space="preserve">131</w:t>
            </w:r>
          </w:p>
        </w:tc>
        <w:tc>
          <w:tcPr/>
          <w:p>
            <w:pPr>
              <w:pStyle w:val="Compact"/>
              <w:jc w:val="left"/>
            </w:pPr>
            <w:r>
              <w:t xml:space="preserve">disbeliever</w:t>
            </w:r>
          </w:p>
        </w:tc>
        <w:tc>
          <w:tcPr/>
          <w:p>
            <w:pPr>
              <w:pStyle w:val="Compact"/>
              <w:jc w:val="right"/>
            </w:pPr>
            <w:r>
              <w:t xml:space="preserve">128</w:t>
            </w:r>
          </w:p>
        </w:tc>
        <w:tc>
          <w:tcPr/>
          <w:p>
            <w:pPr>
              <w:pStyle w:val="Compact"/>
              <w:jc w:val="left"/>
            </w:pPr>
            <w:r>
              <w:rPr>
                <w:iCs/>
                <w:i/>
              </w:rPr>
              <w:t xml:space="preserve">deniers</w:t>
            </w:r>
            <w:r>
              <w:t xml:space="preserve"> </w:t>
            </w:r>
            <w:r>
              <w:t xml:space="preserve">(2:254, 46:6);</w:t>
            </w:r>
            <w:r>
              <w:t xml:space="preserve"> </w:t>
            </w:r>
            <w:r>
              <w:rPr>
                <w:iCs/>
                <w:i/>
              </w:rPr>
              <w:t xml:space="preserve">the ungrateful</w:t>
            </w:r>
            <w:r>
              <w:t xml:space="preserve"> </w:t>
            </w:r>
            <w:r>
              <w:t xml:space="preserve">(26:19)</w:t>
            </w:r>
          </w:p>
        </w:tc>
      </w:tr>
    </w:tbl>
    <w:p>
      <w:pPr>
        <w:pStyle w:val="BodyText"/>
      </w:pPr>
      <w:r>
        <w:t xml:space="preserve">The variants fall into three groups, each triggered by the co-text rather than by the doctrinal weight of the verse.</w:t>
      </w:r>
    </w:p>
    <w:p>
      <w:pPr>
        <w:pStyle w:val="BodyText"/>
      </w:pPr>
      <w:r>
        <w:rPr>
          <w:bCs/>
          <w:b/>
        </w:rPr>
        <w:t xml:space="preserve">Collocational blocking.</w:t>
      </w:r>
      <w:r>
        <w:t xml:space="preserve"> </w:t>
      </w:r>
      <w:r>
        <w:t xml:space="preserve">In 5:2 and 58:9</w:t>
      </w:r>
      <w:r>
        <w:t xml:space="preserve"> </w:t>
      </w:r>
      <w:r>
        <w:rPr>
          <w:iCs/>
          <w:i/>
        </w:rPr>
        <w:t xml:space="preserve">taqwā</w:t>
      </w:r>
      <w:r>
        <w:t xml:space="preserve"> </w:t>
      </w:r>
      <w:r>
        <w:t xml:space="preserve">is paired with</w:t>
      </w:r>
      <w:r>
        <w:t xml:space="preserve"> </w:t>
      </w:r>
      <w:r>
        <w:rPr>
          <w:iCs/>
          <w:i/>
        </w:rPr>
        <w:t xml:space="preserve">birr</w:t>
      </w:r>
      <w:r>
        <w:t xml:space="preserve">,</w:t>
      </w:r>
      <w:r>
        <w:t xml:space="preserve"> </w:t>
      </w:r>
      <w:r>
        <w:rPr>
          <w:iCs/>
          <w:i/>
        </w:rPr>
        <w:t xml:space="preserve">al-birr wa-l-taqwā</w:t>
      </w:r>
      <w:r>
        <w:t xml:space="preserve">. The gloss layer gives</w:t>
      </w:r>
      <w:r>
        <w:t xml:space="preserve"> </w:t>
      </w:r>
      <w:r>
        <w:rPr>
          <w:iCs/>
          <w:i/>
        </w:rPr>
        <w:t xml:space="preserve">birr</w:t>
      </w:r>
      <w:r>
        <w:t xml:space="preserve"> </w:t>
      </w:r>
      <w:r>
        <w:t xml:space="preserve">the word</w:t>
      </w:r>
      <w:r>
        <w:t xml:space="preserve"> </w:t>
      </w:r>
      <w:r>
        <w:rPr>
          <w:iCs/>
          <w:i/>
        </w:rPr>
        <w:t xml:space="preserve">righteousness</w:t>
      </w:r>
      <w:r>
        <w:t xml:space="preserve">, so</w:t>
      </w:r>
      <w:r>
        <w:t xml:space="preserve"> </w:t>
      </w:r>
      <w:r>
        <w:rPr>
          <w:iCs/>
          <w:i/>
        </w:rPr>
        <w:t xml:space="preserve">taqwā</w:t>
      </w:r>
      <w:r>
        <w:t xml:space="preserve"> </w:t>
      </w:r>
      <w:r>
        <w:t xml:space="preserve">receives</w:t>
      </w:r>
      <w:r>
        <w:t xml:space="preserve"> </w:t>
      </w:r>
      <w:r>
        <w:rPr>
          <w:iCs/>
          <w:i/>
        </w:rPr>
        <w:t xml:space="preserve">piety</w:t>
      </w:r>
      <w:r>
        <w:t xml:space="preserve"> </w:t>
      </w:r>
      <w:r>
        <w:t xml:space="preserve">and the pair stays distinct. In other words, the default is displaced because a collocational partner already uses it.</w:t>
      </w:r>
    </w:p>
    <w:p>
      <w:pPr>
        <w:pStyle w:val="BodyText"/>
      </w:pPr>
      <w:r>
        <w:rPr>
          <w:bCs/>
          <w:b/>
        </w:rPr>
        <w:t xml:space="preserve">Semantic incompatibility.</w:t>
      </w:r>
      <w:r>
        <w:t xml:space="preserve"> </w:t>
      </w:r>
      <w:r>
        <w:t xml:space="preserve">Three cases fall here:</w:t>
      </w:r>
    </w:p>
    <w:p>
      <w:pPr>
        <w:numPr>
          <w:ilvl w:val="0"/>
          <w:numId w:val="1011"/>
        </w:numPr>
        <w:pStyle w:val="Compact"/>
      </w:pPr>
      <w:r>
        <w:rPr>
          <w:iCs/>
          <w:i/>
          <w:bCs/>
          <w:b/>
        </w:rPr>
        <w:t xml:space="preserve">Tillers</w:t>
      </w:r>
      <w:r>
        <w:rPr>
          <w:bCs/>
          <w:b/>
        </w:rPr>
        <w:t xml:space="preserve"> </w:t>
      </w:r>
      <w:r>
        <w:rPr>
          <w:bCs/>
          <w:b/>
        </w:rPr>
        <w:t xml:space="preserve">(57:20).</w:t>
      </w:r>
      <w:r>
        <w:t xml:space="preserve"> </w:t>
      </w:r>
      <w:r>
        <w:t xml:space="preserve">In the parable of rain</w:t>
      </w:r>
      <w:r>
        <w:t xml:space="preserve"> </w:t>
      </w:r>
      <w:r>
        <w:t xml:space="preserve">“</w:t>
      </w:r>
      <w:r>
        <w:t xml:space="preserve">whose plant growth pleases</w:t>
      </w:r>
      <w:r>
        <w:t xml:space="preserve"> </w:t>
      </w:r>
      <w:r>
        <w:rPr>
          <w:iCs/>
          <w:i/>
        </w:rPr>
        <w:t xml:space="preserve">al-kuffār</w:t>
      </w:r>
      <w:r>
        <w:t xml:space="preserve">”</w:t>
      </w:r>
      <w:r>
        <w:t xml:space="preserve">, a theological reading would make little sense. The gloss returns to the root sense of</w:t>
      </w:r>
      <w:r>
        <w:t xml:space="preserve"> </w:t>
      </w:r>
      <w:r>
        <w:rPr>
          <w:iCs/>
          <w:i/>
        </w:rPr>
        <w:t xml:space="preserve">kafara</w:t>
      </w:r>
      <w:r>
        <w:t xml:space="preserve">, to cover (seed with soil).</w:t>
      </w:r>
    </w:p>
    <w:p>
      <w:pPr>
        <w:numPr>
          <w:ilvl w:val="0"/>
          <w:numId w:val="1011"/>
        </w:numPr>
        <w:pStyle w:val="Compact"/>
      </w:pPr>
      <w:r>
        <w:rPr>
          <w:iCs/>
          <w:i/>
          <w:bCs/>
          <w:b/>
        </w:rPr>
        <w:t xml:space="preserve">To be feared</w:t>
      </w:r>
      <w:r>
        <w:rPr>
          <w:bCs/>
          <w:b/>
        </w:rPr>
        <w:t xml:space="preserve"> </w:t>
      </w:r>
      <w:r>
        <w:rPr>
          <w:bCs/>
          <w:b/>
        </w:rPr>
        <w:t xml:space="preserve">(74:56).</w:t>
      </w:r>
      <w:r>
        <w:t xml:space="preserve"> </w:t>
      </w:r>
      <w:r>
        <w:t xml:space="preserve">In</w:t>
      </w:r>
      <w:r>
        <w:t xml:space="preserve"> </w:t>
      </w:r>
      <w:r>
        <w:rPr>
          <w:iCs/>
          <w:i/>
        </w:rPr>
        <w:t xml:space="preserve">huwa ahlu al-taqwā</w:t>
      </w:r>
      <w:r>
        <w:t xml:space="preserve"> </w:t>
      </w:r>
      <w:r>
        <w:t xml:space="preserve">God is the one to whom</w:t>
      </w:r>
      <w:r>
        <w:t xml:space="preserve"> </w:t>
      </w:r>
      <w:r>
        <w:rPr>
          <w:iCs/>
          <w:i/>
        </w:rPr>
        <w:t xml:space="preserve">taqwā</w:t>
      </w:r>
      <w:r>
        <w:t xml:space="preserve"> </w:t>
      </w:r>
      <w:r>
        <w:t xml:space="preserve">is owed, not its subject, and the gloss follows that relation.</w:t>
      </w:r>
    </w:p>
    <w:p>
      <w:pPr>
        <w:numPr>
          <w:ilvl w:val="0"/>
          <w:numId w:val="1011"/>
        </w:numPr>
        <w:pStyle w:val="Compact"/>
      </w:pPr>
      <w:r>
        <w:rPr>
          <w:iCs/>
          <w:i/>
          <w:bCs/>
          <w:b/>
        </w:rPr>
        <w:t xml:space="preserve">The ungrateful</w:t>
      </w:r>
      <w:r>
        <w:rPr>
          <w:bCs/>
          <w:b/>
        </w:rPr>
        <w:t xml:space="preserve"> </w:t>
      </w:r>
      <w:r>
        <w:rPr>
          <w:bCs/>
          <w:b/>
        </w:rPr>
        <w:t xml:space="preserve">(26:19).</w:t>
      </w:r>
      <w:r>
        <w:t xml:space="preserve"> </w:t>
      </w:r>
      <w:r>
        <w:t xml:space="preserve">Pharaoh reproaches Moses, who was raised in his household:</w:t>
      </w:r>
      <w:r>
        <w:t xml:space="preserve"> </w:t>
      </w:r>
      <w:r>
        <w:t xml:space="preserve">“</w:t>
      </w:r>
      <w:r>
        <w:t xml:space="preserve">and you are of</w:t>
      </w:r>
      <w:r>
        <w:t xml:space="preserve"> </w:t>
      </w:r>
      <w:r>
        <w:rPr>
          <w:iCs/>
          <w:i/>
        </w:rPr>
        <w:t xml:space="preserve">al-kāfirīn</w:t>
      </w:r>
      <w:r>
        <w:t xml:space="preserve">”</w:t>
      </w:r>
      <w:r>
        <w:t xml:space="preserve">. The gloss here takes up the ingratitude sense that Izutsu (2002b) places at the core of</w:t>
      </w:r>
      <w:r>
        <w:t xml:space="preserve"> </w:t>
      </w:r>
      <w:r>
        <w:rPr>
          <w:iCs/>
          <w:i/>
        </w:rPr>
        <w:t xml:space="preserve">kufr</w:t>
      </w:r>
      <w:r>
        <w:t xml:space="preserve">.</w:t>
      </w:r>
    </w:p>
    <w:p>
      <w:pPr>
        <w:pStyle w:val="FirstParagraph"/>
      </w:pPr>
      <w:r>
        <w:rPr>
          <w:bCs/>
          <w:b/>
        </w:rPr>
        <w:t xml:space="preserve">Ritual register.</w:t>
      </w:r>
      <w:r>
        <w:t xml:space="preserve"> </w:t>
      </w:r>
      <w:r>
        <w:rPr>
          <w:iCs/>
          <w:i/>
        </w:rPr>
        <w:t xml:space="preserve">Piety</w:t>
      </w:r>
      <w:r>
        <w:t xml:space="preserve"> </w:t>
      </w:r>
      <w:r>
        <w:t xml:space="preserve">appears in 22:32 (</w:t>
      </w:r>
      <w:r>
        <w:rPr>
          <w:iCs/>
          <w:i/>
        </w:rPr>
        <w:t xml:space="preserve">taqwā al-qulūb</w:t>
      </w:r>
      <w:r>
        <w:t xml:space="preserve">, honouring</w:t>
      </w:r>
      <w:r>
        <w:t xml:space="preserve"> </w:t>
      </w:r>
      <w:r>
        <w:t xml:space="preserve">“</w:t>
      </w:r>
      <w:r>
        <w:t xml:space="preserve">the symbols of Allah</w:t>
      </w:r>
      <w:r>
        <w:t xml:space="preserve">”</w:t>
      </w:r>
      <w:r>
        <w:t xml:space="preserve">) and 22:37 (what reaches God of the sacrificial animals is</w:t>
      </w:r>
      <w:r>
        <w:t xml:space="preserve"> </w:t>
      </w:r>
      <w:r>
        <w:rPr>
          <w:iCs/>
          <w:i/>
        </w:rPr>
        <w:t xml:space="preserve">taqwā</w:t>
      </w:r>
      <w:r>
        <w:t xml:space="preserve">), both in the context of pilgrimage rites.</w:t>
      </w:r>
    </w:p>
    <w:p>
      <w:pPr>
        <w:pStyle w:val="BodyText"/>
      </w:pPr>
      <w:r>
        <w:t xml:space="preserve">The gloss is also not fully consistent across identical constructions. The phrase</w:t>
      </w:r>
      <w:r>
        <w:t xml:space="preserve"> </w:t>
      </w:r>
      <w:r>
        <w:rPr>
          <w:iCs/>
          <w:i/>
        </w:rPr>
        <w:t xml:space="preserve">aqrabu li-l-taqwā</w:t>
      </w:r>
      <w:r>
        <w:t xml:space="preserve">,</w:t>
      </w:r>
      <w:r>
        <w:t xml:space="preserve"> </w:t>
      </w:r>
      <w:r>
        <w:t xml:space="preserve">“</w:t>
      </w:r>
      <w:r>
        <w:t xml:space="preserve">nearer to</w:t>
      </w:r>
      <w:r>
        <w:t xml:space="preserve"> </w:t>
      </w:r>
      <w:r>
        <w:rPr>
          <w:iCs/>
          <w:i/>
        </w:rPr>
        <w:t xml:space="preserve">taqwā</w:t>
      </w:r>
      <w:r>
        <w:t xml:space="preserve">”</w:t>
      </w:r>
      <w:r>
        <w:t xml:space="preserve">, is glossed</w:t>
      </w:r>
      <w:r>
        <w:t xml:space="preserve"> </w:t>
      </w:r>
      <w:r>
        <w:rPr>
          <w:iCs/>
          <w:i/>
        </w:rPr>
        <w:t xml:space="preserve">righteousness</w:t>
      </w:r>
      <w:r>
        <w:t xml:space="preserve"> </w:t>
      </w:r>
      <w:r>
        <w:t xml:space="preserve">at 2:237 but</w:t>
      </w:r>
      <w:r>
        <w:t xml:space="preserve"> </w:t>
      </w:r>
      <w:r>
        <w:rPr>
          <w:iCs/>
          <w:i/>
        </w:rPr>
        <w:t xml:space="preserve">piety</w:t>
      </w:r>
      <w:r>
        <w:t xml:space="preserve"> </w:t>
      </w:r>
      <w:r>
        <w:t xml:space="preserve">at 5:8. The glosses also differ from the translation printed under them: at 5:8, Sahih International has</w:t>
      </w:r>
      <w:r>
        <w:t xml:space="preserve"> </w:t>
      </w:r>
      <w:r>
        <w:t xml:space="preserve">“</w:t>
      </w:r>
      <w:r>
        <w:t xml:space="preserve">nearer to righteousness</w:t>
      </w:r>
      <w:r>
        <w:t xml:space="preserve">”</w:t>
      </w:r>
      <w:r>
        <w:t xml:space="preserve">. At 2:197, the gloss reads</w:t>
      </w:r>
      <w:r>
        <w:t xml:space="preserve"> </w:t>
      </w:r>
      <w:r>
        <w:t xml:space="preserve">“</w:t>
      </w:r>
      <w:r>
        <w:t xml:space="preserve">(is) righteousness</w:t>
      </w:r>
      <w:r>
        <w:t xml:space="preserve">”</w:t>
      </w:r>
      <w:r>
        <w:t xml:space="preserve">, whereas Sahih International’s sentence reads</w:t>
      </w:r>
      <w:r>
        <w:t xml:space="preserve"> </w:t>
      </w:r>
      <w:r>
        <w:t xml:space="preserve">“</w:t>
      </w:r>
      <w:r>
        <w:t xml:space="preserve">the best provision is</w:t>
      </w:r>
      <w:r>
        <w:t xml:space="preserve"> </w:t>
      </w:r>
      <w:r>
        <w:rPr>
          <w:iCs/>
          <w:i/>
        </w:rPr>
        <w:t xml:space="preserve">fear of Allah</w:t>
      </w:r>
      <w:r>
        <w:t xml:space="preserve">”</w:t>
      </w:r>
      <w:r>
        <w:t xml:space="preserve">. The two layers of the same platform therefore do not form one translation. A study that quotes one while coding the other, as the earlier version of this research did, conflates two documents.</w:t>
      </w:r>
    </w:p>
    <w:p>
      <w:pPr>
        <w:pStyle w:val="BodyText"/>
      </w:pPr>
      <w:r>
        <w:rPr>
          <w:bCs/>
          <w:b/>
        </w:rPr>
        <w:t xml:space="preserve">Answer to RQ1.</w:t>
      </w:r>
      <w:r>
        <w:t xml:space="preserve"> </w:t>
      </w:r>
      <w:r>
        <w:t xml:space="preserve">The glossing norm assigns one default English lexeme per lemma. It allows a variant only when the default would be incompatible with the co-text or is already taken by a collocate. It does not respond to doctrinal context. A token of</w:t>
      </w:r>
      <w:r>
        <w:t xml:space="preserve"> </w:t>
      </w:r>
      <w:r>
        <w:rPr>
          <w:iCs/>
          <w:i/>
        </w:rPr>
        <w:t xml:space="preserve">kāfir</w:t>
      </w:r>
      <w:r>
        <w:t xml:space="preserve"> </w:t>
      </w:r>
      <w:r>
        <w:t xml:space="preserve">in a legal provision (60:11), in a battle instruction (9:123) and in an eschatological scene (83:34) is glossed identically, because nothing in the immediate co-text blocks</w:t>
      </w:r>
      <w:r>
        <w:t xml:space="preserve"> </w:t>
      </w:r>
      <w:r>
        <w:rPr>
          <w:iCs/>
          <w:i/>
        </w:rPr>
        <w:t xml:space="preserve">disbeliever</w:t>
      </w:r>
      <w:r>
        <w:t xml:space="preserve">. This is what the law of growing standardisation would predict for a documentary text whose purpose is to make each Arabic word retraceable (Toury 2012; Nord 2018).</w:t>
      </w:r>
    </w:p>
    <w:bookmarkEnd w:id="32"/>
    <w:bookmarkStart w:id="33" w:name="taqwā-one-term-five-anchors"/>
    <w:p>
      <w:pPr>
        <w:pStyle w:val="Heading2"/>
      </w:pPr>
      <w:r>
        <w:t xml:space="preserve">4.2</w:t>
      </w:r>
      <w:r>
        <w:t xml:space="preserve"> </w:t>
      </w:r>
      <w:r>
        <w:rPr>
          <w:iCs/>
          <w:i/>
        </w:rPr>
        <w:t xml:space="preserve">Taqwā</w:t>
      </w:r>
      <w:r>
        <w:t xml:space="preserve">: one term, five anchors</w:t>
      </w:r>
    </w:p>
    <w:p>
      <w:pPr>
        <w:pStyle w:val="FirstParagraph"/>
      </w:pPr>
      <w:r>
        <w:t xml:space="preserve">The sentence-level translations show how unstable</w:t>
      </w:r>
      <w:r>
        <w:t xml:space="preserve"> </w:t>
      </w:r>
      <w:r>
        <w:rPr>
          <w:iCs/>
          <w:i/>
        </w:rPr>
        <w:t xml:space="preserve">taqwā</w:t>
      </w:r>
      <w:r>
        <w:t xml:space="preserve"> </w:t>
      </w:r>
      <w:r>
        <w:t xml:space="preserve">is in English (Table 2).</w:t>
      </w:r>
    </w:p>
    <w:p>
      <w:pPr>
        <w:pStyle w:val="BodyText"/>
      </w:pPr>
      <w:r>
        <w:rPr>
          <w:iCs/>
          <w:i/>
        </w:rPr>
        <w:t xml:space="preserve">Table 2. Lexical families used for the 17 tokens of taqwā</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Family</w:t>
            </w:r>
          </w:p>
        </w:tc>
        <w:tc>
          <w:tcPr/>
          <w:p>
            <w:pPr>
              <w:pStyle w:val="Compact"/>
              <w:jc w:val="right"/>
            </w:pPr>
            <w:r>
              <w:t xml:space="preserve">QAC gloss</w:t>
            </w:r>
          </w:p>
        </w:tc>
        <w:tc>
          <w:tcPr/>
          <w:p>
            <w:pPr>
              <w:pStyle w:val="Compact"/>
              <w:jc w:val="right"/>
            </w:pPr>
            <w:r>
              <w:t xml:space="preserve">SI</w:t>
            </w:r>
          </w:p>
        </w:tc>
        <w:tc>
          <w:tcPr/>
          <w:p>
            <w:pPr>
              <w:pStyle w:val="Compact"/>
              <w:jc w:val="right"/>
            </w:pPr>
            <w:r>
              <w:t xml:space="preserve">PI</w:t>
            </w:r>
          </w:p>
        </w:tc>
        <w:tc>
          <w:tcPr/>
          <w:p>
            <w:pPr>
              <w:pStyle w:val="Compact"/>
              <w:jc w:val="right"/>
            </w:pPr>
            <w:r>
              <w:t xml:space="preserve">YA</w:t>
            </w:r>
          </w:p>
        </w:tc>
        <w:tc>
          <w:tcPr/>
          <w:p>
            <w:pPr>
              <w:pStyle w:val="Compact"/>
              <w:jc w:val="right"/>
            </w:pPr>
            <w:r>
              <w:t xml:space="preserve">AR</w:t>
            </w:r>
          </w:p>
        </w:tc>
        <w:tc>
          <w:tcPr/>
          <w:p>
            <w:pPr>
              <w:pStyle w:val="Compact"/>
              <w:jc w:val="right"/>
            </w:pPr>
            <w:r>
              <w:t xml:space="preserve">HK</w:t>
            </w:r>
          </w:p>
        </w:tc>
      </w:tr>
      <w:tr>
        <w:tc>
          <w:tcPr/>
          <w:p>
            <w:pPr>
              <w:pStyle w:val="Compact"/>
              <w:jc w:val="left"/>
            </w:pPr>
            <w:r>
              <w:t xml:space="preserve">righteousness / right</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3</w:t>
            </w:r>
          </w:p>
        </w:tc>
        <w:tc>
          <w:tcPr/>
          <w:p>
            <w:pPr>
              <w:pStyle w:val="Compact"/>
              <w:jc w:val="right"/>
            </w:pPr>
            <w:r>
              <w:t xml:space="preserve">7</w:t>
            </w:r>
          </w:p>
        </w:tc>
        <w:tc>
          <w:tcPr/>
          <w:p>
            <w:pPr>
              <w:pStyle w:val="Compact"/>
              <w:jc w:val="right"/>
            </w:pPr>
            <w:r>
              <w:t xml:space="preserve">0</w:t>
            </w:r>
          </w:p>
        </w:tc>
        <w:tc>
          <w:tcPr/>
          <w:p>
            <w:pPr>
              <w:pStyle w:val="Compact"/>
              <w:jc w:val="right"/>
            </w:pPr>
            <w:r>
              <w:t xml:space="preserve">2</w:t>
            </w:r>
          </w:p>
        </w:tc>
      </w:tr>
      <w:tr>
        <w:tc>
          <w:tcPr/>
          <w:p>
            <w:pPr>
              <w:pStyle w:val="Compact"/>
              <w:jc w:val="left"/>
            </w:pPr>
            <w:r>
              <w:t xml:space="preserve">piety / devotion / godliness</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8</w:t>
            </w:r>
          </w:p>
        </w:tc>
        <w:tc>
          <w:tcPr/>
          <w:p>
            <w:pPr>
              <w:pStyle w:val="Compact"/>
              <w:jc w:val="right"/>
            </w:pPr>
            <w:r>
              <w:t xml:space="preserve">2</w:t>
            </w:r>
          </w:p>
        </w:tc>
        <w:tc>
          <w:tcPr/>
          <w:p>
            <w:pPr>
              <w:pStyle w:val="Compact"/>
              <w:jc w:val="right"/>
            </w:pPr>
            <w:r>
              <w:t xml:space="preserve">9</w:t>
            </w:r>
          </w:p>
        </w:tc>
      </w:tr>
      <w:tr>
        <w:tc>
          <w:tcPr/>
          <w:p>
            <w:pPr>
              <w:pStyle w:val="Compact"/>
              <w:jc w:val="left"/>
            </w:pPr>
            <w:r>
              <w:t xml:space="preserve">fear (incl. </w:t>
            </w:r>
            <w:r>
              <w:rPr>
                <w:iCs/>
                <w:i/>
              </w:rPr>
              <w:t xml:space="preserve">godfearing</w:t>
            </w:r>
            <w:r>
              <w:t xml:space="preserve">)</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15</w:t>
            </w:r>
          </w:p>
        </w:tc>
        <w:tc>
          <w:tcPr/>
          <w:p>
            <w:pPr>
              <w:pStyle w:val="Compact"/>
              <w:jc w:val="right"/>
            </w:pPr>
            <w:r>
              <w:t xml:space="preserve">1</w:t>
            </w:r>
          </w:p>
        </w:tc>
      </w:tr>
      <w:tr>
        <w:tc>
          <w:tcPr/>
          <w:p>
            <w:pPr>
              <w:pStyle w:val="Compact"/>
              <w:jc w:val="left"/>
            </w:pPr>
            <w:r>
              <w:t xml:space="preserve">duty (to God)</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restraint / protection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retention + gloss (</w:t>
            </w:r>
            <w:r>
              <w:rPr>
                <w:iCs/>
                <w:i/>
              </w:rPr>
              <w:t xml:space="preserve">At-Taqwa</w:t>
            </w:r>
            <w:r>
              <w:t xml:space="preserve">,</w:t>
            </w:r>
            <w:r>
              <w:t xml:space="preserve"> </w:t>
            </w:r>
            <w:r>
              <w:rPr>
                <w:iCs/>
                <w:i/>
              </w:rPr>
              <w:t xml:space="preserve">Muttaqun</w:t>
            </w:r>
            <w:r>
              <w:t xml:space="preserv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r>
      <w:tr>
        <w:tc>
          <w:tcPr/>
          <w:p>
            <w:pPr>
              <w:pStyle w:val="Compact"/>
              <w:jc w:val="left"/>
            </w:pPr>
            <w:r>
              <w:rPr>
                <w:bCs/>
                <w:b/>
              </w:rPr>
              <w:t xml:space="preserve">Distinct families</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r>
    </w:tbl>
    <w:p>
      <w:pPr>
        <w:pStyle w:val="BodyText"/>
      </w:pPr>
      <w:r>
        <w:t xml:space="preserve">Each translator anchors</w:t>
      </w:r>
      <w:r>
        <w:t xml:space="preserve"> </w:t>
      </w:r>
      <w:r>
        <w:rPr>
          <w:iCs/>
          <w:i/>
        </w:rPr>
        <w:t xml:space="preserve">taqwā</w:t>
      </w:r>
      <w:r>
        <w:t xml:space="preserve"> </w:t>
      </w:r>
      <w:r>
        <w:t xml:space="preserve">in a different component of its meaning.</w:t>
      </w:r>
    </w:p>
    <w:p>
      <w:pPr>
        <w:numPr>
          <w:ilvl w:val="0"/>
          <w:numId w:val="1012"/>
        </w:numPr>
        <w:pStyle w:val="Compact"/>
      </w:pPr>
      <w:r>
        <w:rPr>
          <w:bCs/>
          <w:b/>
        </w:rPr>
        <w:t xml:space="preserve">Ethical anchor: Sahih International.</w:t>
      </w:r>
      <w:r>
        <w:t xml:space="preserve"> </w:t>
      </w:r>
      <w:r>
        <w:t xml:space="preserve">It follows the gloss in 15 of 17 tokens and centres the term on righteousness.</w:t>
      </w:r>
    </w:p>
    <w:p>
      <w:pPr>
        <w:numPr>
          <w:ilvl w:val="0"/>
          <w:numId w:val="1012"/>
        </w:numPr>
        <w:pStyle w:val="Compact"/>
      </w:pPr>
      <w:r>
        <w:rPr>
          <w:bCs/>
          <w:b/>
        </w:rPr>
        <w:t xml:space="preserve">Affective anchor: Arberry.</w:t>
      </w:r>
      <w:r>
        <w:t xml:space="preserve"> </w:t>
      </w:r>
      <w:r>
        <w:t xml:space="preserve">He uses</w:t>
      </w:r>
      <w:r>
        <w:t xml:space="preserve"> </w:t>
      </w:r>
      <w:r>
        <w:rPr>
          <w:iCs/>
          <w:i/>
        </w:rPr>
        <w:t xml:space="preserve">godfearing</w:t>
      </w:r>
      <w:r>
        <w:t xml:space="preserve"> </w:t>
      </w:r>
      <w:r>
        <w:t xml:space="preserve">in 13 tokens and the fear family in 15 of 17, foregrounding the fear (</w:t>
      </w:r>
      <w:r>
        <w:rPr>
          <w:iCs/>
          <w:i/>
        </w:rPr>
        <w:t xml:space="preserve">khashyah</w:t>
      </w:r>
      <w:r>
        <w:t xml:space="preserve">) that al-Qurṭubī transmits from Ibn ʿAbbās.</w:t>
      </w:r>
    </w:p>
    <w:p>
      <w:pPr>
        <w:numPr>
          <w:ilvl w:val="0"/>
          <w:numId w:val="1012"/>
        </w:numPr>
        <w:pStyle w:val="Compact"/>
      </w:pPr>
      <w:r>
        <w:rPr>
          <w:bCs/>
          <w:b/>
        </w:rPr>
        <w:t xml:space="preserve">Devotional anchor: Yusuf Ali.</w:t>
      </w:r>
      <w:r>
        <w:t xml:space="preserve"> </w:t>
      </w:r>
      <w:r>
        <w:rPr>
          <w:iCs/>
          <w:i/>
        </w:rPr>
        <w:t xml:space="preserve">Piety</w:t>
      </w:r>
      <w:r>
        <w:t xml:space="preserve"> </w:t>
      </w:r>
      <w:r>
        <w:t xml:space="preserve">is his most frequent choice (8), alongside</w:t>
      </w:r>
      <w:r>
        <w:t xml:space="preserve"> </w:t>
      </w:r>
      <w:r>
        <w:rPr>
          <w:iCs/>
          <w:i/>
        </w:rPr>
        <w:t xml:space="preserve">righteousness</w:t>
      </w:r>
      <w:r>
        <w:t xml:space="preserve"> </w:t>
      </w:r>
      <w:r>
        <w:t xml:space="preserve">(7).</w:t>
      </w:r>
    </w:p>
    <w:p>
      <w:pPr>
        <w:numPr>
          <w:ilvl w:val="0"/>
          <w:numId w:val="1012"/>
        </w:numPr>
        <w:pStyle w:val="Compact"/>
      </w:pPr>
      <w:r>
        <w:rPr>
          <w:bCs/>
          <w:b/>
        </w:rPr>
        <w:t xml:space="preserve">Protective anchor: Pickthall.</w:t>
      </w:r>
      <w:r>
        <w:t xml:space="preserve"> </w:t>
      </w:r>
      <w:r>
        <w:t xml:space="preserve">He is the only translator who keeps the etymological sense of the root</w:t>
      </w:r>
      <w:r>
        <w:t xml:space="preserve"> </w:t>
      </w:r>
      <w:r>
        <w:rPr>
          <w:iCs/>
          <w:i/>
        </w:rPr>
        <w:t xml:space="preserve">waqā</w:t>
      </w:r>
      <w:r>
        <w:t xml:space="preserve">,</w:t>
      </w:r>
      <w:r>
        <w:t xml:space="preserve"> </w:t>
      </w:r>
      <w:r>
        <w:t xml:space="preserve">“</w:t>
      </w:r>
      <w:r>
        <w:t xml:space="preserve">to guard</w:t>
      </w:r>
      <w:r>
        <w:t xml:space="preserve">”</w:t>
      </w:r>
      <w:r>
        <w:t xml:space="preserve">. He writes</w:t>
      </w:r>
      <w:r>
        <w:t xml:space="preserve"> </w:t>
      </w:r>
      <w:r>
        <w:t xml:space="preserve">“</w:t>
      </w:r>
      <w:r>
        <w:t xml:space="preserve">to ward off evil</w:t>
      </w:r>
      <w:r>
        <w:t xml:space="preserve">”</w:t>
      </w:r>
      <w:r>
        <w:t xml:space="preserve"> </w:t>
      </w:r>
      <w:r>
        <w:t xml:space="preserve">(2:197),</w:t>
      </w:r>
      <w:r>
        <w:t xml:space="preserve"> </w:t>
      </w:r>
      <w:r>
        <w:t xml:space="preserve">“</w:t>
      </w:r>
      <w:r>
        <w:t xml:space="preserve">restraint from evil</w:t>
      </w:r>
      <w:r>
        <w:t xml:space="preserve">”</w:t>
      </w:r>
      <w:r>
        <w:t xml:space="preserve"> </w:t>
      </w:r>
      <w:r>
        <w:t xml:space="preserve">(7:26),</w:t>
      </w:r>
      <w:r>
        <w:t xml:space="preserve"> </w:t>
      </w:r>
      <w:r>
        <w:t xml:space="preserve">“</w:t>
      </w:r>
      <w:r>
        <w:t xml:space="preserve">protection (against evil)</w:t>
      </w:r>
      <w:r>
        <w:t xml:space="preserve">”</w:t>
      </w:r>
      <w:r>
        <w:t xml:space="preserve"> </w:t>
      </w:r>
      <w:r>
        <w:t xml:space="preserve">(47:17) and</w:t>
      </w:r>
      <w:r>
        <w:t xml:space="preserve"> </w:t>
      </w:r>
      <w:r>
        <w:t xml:space="preserve">“</w:t>
      </w:r>
      <w:r>
        <w:t xml:space="preserve">self-restraint</w:t>
      </w:r>
      <w:r>
        <w:t xml:space="preserve">”</w:t>
      </w:r>
      <w:r>
        <w:t xml:space="preserve"> </w:t>
      </w:r>
      <w:r>
        <w:t xml:space="preserve">(48:26). He also has</w:t>
      </w:r>
      <w:r>
        <w:t xml:space="preserve"> </w:t>
      </w:r>
      <w:r>
        <w:rPr>
          <w:iCs/>
          <w:i/>
        </w:rPr>
        <w:t xml:space="preserve">duty to Allah</w:t>
      </w:r>
      <w:r>
        <w:t xml:space="preserve"> </w:t>
      </w:r>
      <w:r>
        <w:t xml:space="preserve">(9:108, 9:109). This comes closest to al-Rāghib’s definition of</w:t>
      </w:r>
      <w:r>
        <w:t xml:space="preserve"> </w:t>
      </w:r>
      <w:r>
        <w:rPr>
          <w:iCs/>
          <w:i/>
        </w:rPr>
        <w:t xml:space="preserve">taqwā</w:t>
      </w:r>
      <w:r>
        <w:t xml:space="preserve"> </w:t>
      </w:r>
      <w:r>
        <w:t xml:space="preserve">as guarding the self against what incurs blame, and to al-Ghazālī’s account of it as a disposition that orients all conduct.</w:t>
      </w:r>
    </w:p>
    <w:p>
      <w:pPr>
        <w:numPr>
          <w:ilvl w:val="0"/>
          <w:numId w:val="1012"/>
        </w:numPr>
        <w:pStyle w:val="Compact"/>
      </w:pPr>
      <w:r>
        <w:rPr>
          <w:bCs/>
          <w:b/>
        </w:rPr>
        <w:t xml:space="preserve">Retentive anchor: al-Hilali and Khan.</w:t>
      </w:r>
      <w:r>
        <w:t xml:space="preserve"> </w:t>
      </w:r>
      <w:r>
        <w:t xml:space="preserve">In five tokens they retain the term and gloss it in brackets, e.g. </w:t>
      </w:r>
      <w:r>
        <w:t xml:space="preserve">“</w:t>
      </w:r>
      <w:r>
        <w:t xml:space="preserve">At-Taqwa (piety, righteousness, etc.)</w:t>
      </w:r>
      <w:r>
        <w:t xml:space="preserve">”</w:t>
      </w:r>
      <w:r>
        <w:t xml:space="preserve"> </w:t>
      </w:r>
      <w:r>
        <w:t xml:space="preserve">at 2:197 and 2:237.</w:t>
      </w:r>
    </w:p>
    <w:p>
      <w:pPr>
        <w:pStyle w:val="FirstParagraph"/>
      </w:pPr>
      <w:r>
        <w:t xml:space="preserve">Two tokens show why this matters.</w:t>
      </w:r>
    </w:p>
    <w:p>
      <w:pPr>
        <w:pStyle w:val="BodyText"/>
      </w:pPr>
      <w:r>
        <w:rPr>
          <w:bCs/>
          <w:b/>
        </w:rPr>
        <w:t xml:space="preserve">2:197: the best provision.</w:t>
      </w:r>
      <w:r>
        <w:t xml:space="preserve"> </w:t>
      </w:r>
      <w:r>
        <w:t xml:space="preserve">The verse says the best provision for the pilgrimage is</w:t>
      </w:r>
      <w:r>
        <w:t xml:space="preserve"> </w:t>
      </w:r>
      <w:r>
        <w:rPr>
          <w:iCs/>
          <w:i/>
        </w:rPr>
        <w:t xml:space="preserve">taqwā</w:t>
      </w:r>
      <w:r>
        <w:t xml:space="preserve">. Five readings result: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Translation</w:t>
            </w:r>
          </w:p>
        </w:tc>
        <w:tc>
          <w:tcPr/>
          <w:p>
            <w:pPr>
              <w:pStyle w:val="Compact"/>
              <w:jc w:val="left"/>
            </w:pPr>
            <w:r>
              <w:t xml:space="preserve">2:197 rendering</w:t>
            </w:r>
          </w:p>
        </w:tc>
      </w:tr>
      <w:tr>
        <w:tc>
          <w:tcPr/>
          <w:p>
            <w:pPr>
              <w:pStyle w:val="Compact"/>
              <w:jc w:val="left"/>
            </w:pPr>
            <w:r>
              <w:t xml:space="preserve">QAC gloss</w:t>
            </w:r>
          </w:p>
        </w:tc>
        <w:tc>
          <w:tcPr/>
          <w:p>
            <w:pPr>
              <w:pStyle w:val="Compact"/>
              <w:jc w:val="left"/>
            </w:pPr>
            <w:r>
              <w:t xml:space="preserve">“</w:t>
            </w:r>
            <w:r>
              <w:t xml:space="preserve">righteousness</w:t>
            </w:r>
            <w:r>
              <w:t xml:space="preserve">”</w:t>
            </w:r>
          </w:p>
        </w:tc>
      </w:tr>
      <w:tr>
        <w:tc>
          <w:tcPr/>
          <w:p>
            <w:pPr>
              <w:pStyle w:val="Compact"/>
              <w:jc w:val="left"/>
            </w:pPr>
            <w:r>
              <w:t xml:space="preserve">Sahih International</w:t>
            </w:r>
          </w:p>
        </w:tc>
        <w:tc>
          <w:tcPr/>
          <w:p>
            <w:pPr>
              <w:pStyle w:val="Compact"/>
              <w:jc w:val="left"/>
            </w:pPr>
            <w:r>
              <w:t xml:space="preserve">“</w:t>
            </w:r>
            <w:r>
              <w:t xml:space="preserve">fear of Allah</w:t>
            </w:r>
            <w:r>
              <w:t xml:space="preserve">”</w:t>
            </w:r>
          </w:p>
        </w:tc>
      </w:tr>
      <w:tr>
        <w:tc>
          <w:tcPr/>
          <w:p>
            <w:pPr>
              <w:pStyle w:val="Compact"/>
              <w:jc w:val="left"/>
            </w:pPr>
            <w:r>
              <w:t xml:space="preserve">Pickthall</w:t>
            </w:r>
          </w:p>
        </w:tc>
        <w:tc>
          <w:tcPr/>
          <w:p>
            <w:pPr>
              <w:pStyle w:val="Compact"/>
              <w:jc w:val="left"/>
            </w:pPr>
            <w:r>
              <w:t xml:space="preserve">“</w:t>
            </w:r>
            <w:r>
              <w:t xml:space="preserve">to ward off evil</w:t>
            </w:r>
            <w:r>
              <w:t xml:space="preserve">”</w:t>
            </w:r>
          </w:p>
        </w:tc>
      </w:tr>
      <w:tr>
        <w:tc>
          <w:tcPr/>
          <w:p>
            <w:pPr>
              <w:pStyle w:val="Compact"/>
              <w:jc w:val="left"/>
            </w:pPr>
            <w:r>
              <w:t xml:space="preserve">Yusuf Ali</w:t>
            </w:r>
          </w:p>
        </w:tc>
        <w:tc>
          <w:tcPr/>
          <w:p>
            <w:pPr>
              <w:pStyle w:val="Compact"/>
              <w:jc w:val="left"/>
            </w:pPr>
            <w:r>
              <w:t xml:space="preserve">“</w:t>
            </w:r>
            <w:r>
              <w:t xml:space="preserve">right conduct</w:t>
            </w:r>
            <w:r>
              <w:t xml:space="preserve">”</w:t>
            </w:r>
          </w:p>
        </w:tc>
      </w:tr>
      <w:tr>
        <w:tc>
          <w:tcPr/>
          <w:p>
            <w:pPr>
              <w:pStyle w:val="Compact"/>
              <w:jc w:val="left"/>
            </w:pPr>
            <w:r>
              <w:t xml:space="preserve">Arberry</w:t>
            </w:r>
          </w:p>
        </w:tc>
        <w:tc>
          <w:tcPr/>
          <w:p>
            <w:pPr>
              <w:pStyle w:val="Compact"/>
              <w:jc w:val="left"/>
            </w:pPr>
            <w:r>
              <w:t xml:space="preserve">“</w:t>
            </w:r>
            <w:r>
              <w:t xml:space="preserve">godfearing</w:t>
            </w:r>
            <w:r>
              <w:t xml:space="preserve">”</w:t>
            </w:r>
          </w:p>
        </w:tc>
      </w:tr>
      <w:tr>
        <w:tc>
          <w:tcPr/>
          <w:p>
            <w:pPr>
              <w:pStyle w:val="Compact"/>
              <w:jc w:val="left"/>
            </w:pPr>
            <w:r>
              <w:t xml:space="preserve">al-Hilali and Khan</w:t>
            </w:r>
          </w:p>
        </w:tc>
        <w:tc>
          <w:tcPr/>
          <w:p>
            <w:pPr>
              <w:pStyle w:val="Compact"/>
              <w:jc w:val="left"/>
            </w:pPr>
            <w:r>
              <w:t xml:space="preserve">“</w:t>
            </w:r>
            <w:r>
              <w:t xml:space="preserve">At-Taqwa (piety, righteousness, etc.)</w:t>
            </w:r>
            <w:r>
              <w:t xml:space="preserve">”</w:t>
            </w:r>
          </w:p>
        </w:tc>
      </w:tr>
    </w:tbl>
    <w:p>
      <w:pPr>
        <w:pStyle w:val="BodyText"/>
      </w:pPr>
      <w:r>
        <w:t xml:space="preserve">Each is propositionally defensible. In Baker’s terms, each also keeps only one strand of the presupposed meaning that al-Rāghib’s definition joins together: guarding the self, oriented to God.</w:t>
      </w:r>
      <w:r>
        <w:t xml:space="preserve"> </w:t>
      </w:r>
      <w:r>
        <w:rPr>
          <w:iCs/>
          <w:i/>
        </w:rPr>
        <w:t xml:space="preserve">Righteousness</w:t>
      </w:r>
      <w:r>
        <w:t xml:space="preserve"> </w:t>
      </w:r>
      <w:r>
        <w:t xml:space="preserve">centres moral correctness among persons, which the</w:t>
      </w:r>
      <w:r>
        <w:t xml:space="preserve"> </w:t>
      </w:r>
      <w:r>
        <w:rPr>
          <w:iCs/>
          <w:i/>
        </w:rPr>
        <w:t xml:space="preserve">Oxford Learner’s Dictionaries</w:t>
      </w:r>
      <w:r>
        <w:t xml:space="preserve"> </w:t>
      </w:r>
      <w:r>
        <w:t xml:space="preserve">define as</w:t>
      </w:r>
      <w:r>
        <w:t xml:space="preserve"> </w:t>
      </w:r>
      <w:r>
        <w:t xml:space="preserve">“</w:t>
      </w:r>
      <w:r>
        <w:t xml:space="preserve">the quality of being morally right or justifiable</w:t>
      </w:r>
      <w:r>
        <w:t xml:space="preserve">”</w:t>
      </w:r>
      <w:r>
        <w:t xml:space="preserve">.</w:t>
      </w:r>
      <w:r>
        <w:t xml:space="preserve"> </w:t>
      </w:r>
      <w:r>
        <w:rPr>
          <w:iCs/>
          <w:i/>
        </w:rPr>
        <w:t xml:space="preserve">Fear</w:t>
      </w:r>
      <w:r>
        <w:t xml:space="preserve"> </w:t>
      </w:r>
      <w:r>
        <w:t xml:space="preserve">isolates the affect.</w:t>
      </w:r>
      <w:r>
        <w:t xml:space="preserve"> </w:t>
      </w:r>
      <w:r>
        <w:rPr>
          <w:iCs/>
          <w:i/>
        </w:rPr>
        <w:t xml:space="preserve">Ward off evil</w:t>
      </w:r>
      <w:r>
        <w:t xml:space="preserve"> </w:t>
      </w:r>
      <w:r>
        <w:t xml:space="preserve">keeps the protective sense but not the relation to God.</w:t>
      </w:r>
    </w:p>
    <w:p>
      <w:pPr>
        <w:pStyle w:val="BodyText"/>
      </w:pPr>
      <w:r>
        <w:rPr>
          <w:bCs/>
          <w:b/>
        </w:rPr>
        <w:t xml:space="preserve">48:26:</w:t>
      </w:r>
      <w:r>
        <w:rPr>
          <w:bCs/>
          <w:b/>
        </w:rPr>
        <w:t xml:space="preserve"> </w:t>
      </w:r>
      <w:r>
        <w:rPr>
          <w:iCs/>
          <w:i/>
          <w:bCs/>
          <w:b/>
        </w:rPr>
        <w:t xml:space="preserve">kalimat al-taqwā</w:t>
      </w:r>
      <w:r>
        <w:rPr>
          <w:bCs/>
          <w:b/>
        </w:rPr>
        <w:t xml:space="preserve">.</w:t>
      </w:r>
      <w:r>
        <w:t xml:space="preserve"> </w:t>
      </w:r>
      <w:r>
        <w:t xml:space="preserve">Classical exegesis, including Ibn Kathīr, identifies</w:t>
      </w:r>
      <w:r>
        <w:t xml:space="preserve"> </w:t>
      </w:r>
      <w:r>
        <w:rPr>
          <w:iCs/>
          <w:i/>
        </w:rPr>
        <w:t xml:space="preserve">kalimat al-taqwā</w:t>
      </w:r>
      <w:r>
        <w:t xml:space="preserve"> </w:t>
      </w:r>
      <w:r>
        <w:t xml:space="preserve">with the creedal formula</w:t>
      </w:r>
      <w:r>
        <w:t xml:space="preserve"> </w:t>
      </w:r>
      <w:r>
        <w:rPr>
          <w:iCs/>
          <w:i/>
        </w:rPr>
        <w:t xml:space="preserve">lā ilāha illā Allāh</w:t>
      </w:r>
      <w:r>
        <w:t xml:space="preserve">. No translation in the sample signals this:</w:t>
      </w:r>
    </w:p>
    <w:tbl>
      <w:tblPr>
        <w:tblStyle w:val="Table"/>
        <w:tblW w:type="pct" w:w="5000"/>
        <w:tblLook w:firstRow="1" w:lastRow="0" w:firstColumn="0" w:lastColumn="0" w:noHBand="0" w:noVBand="0" w:val="0020"/>
        <w:jc w:val="start"/>
      </w:tblPr>
      <w:tblGrid>
        <w:gridCol w:w="3432"/>
        <w:gridCol w:w="4488"/>
      </w:tblGrid>
      <w:tr>
        <w:trPr>
          <w:tblHeader w:val="true"/>
        </w:trPr>
        <w:tc>
          <w:tcPr/>
          <w:p>
            <w:pPr>
              <w:pStyle w:val="Compact"/>
              <w:jc w:val="left"/>
            </w:pPr>
            <w:r>
              <w:t xml:space="preserve">Translation</w:t>
            </w:r>
          </w:p>
        </w:tc>
        <w:tc>
          <w:tcPr/>
          <w:p>
            <w:pPr>
              <w:pStyle w:val="Compact"/>
              <w:jc w:val="left"/>
            </w:pPr>
            <w:r>
              <w:t xml:space="preserve">48:26 rendering</w:t>
            </w:r>
          </w:p>
        </w:tc>
      </w:tr>
      <w:tr>
        <w:tc>
          <w:tcPr/>
          <w:p>
            <w:pPr>
              <w:pStyle w:val="Compact"/>
              <w:jc w:val="left"/>
            </w:pPr>
            <w:r>
              <w:t xml:space="preserve">QAC gloss / Sahih International</w:t>
            </w:r>
          </w:p>
        </w:tc>
        <w:tc>
          <w:tcPr/>
          <w:p>
            <w:pPr>
              <w:pStyle w:val="Compact"/>
              <w:jc w:val="left"/>
            </w:pPr>
            <w:r>
              <w:t xml:space="preserve">“</w:t>
            </w:r>
            <w:r>
              <w:t xml:space="preserve">the word of righteousness</w:t>
            </w:r>
            <w:r>
              <w:t xml:space="preserve">”</w:t>
            </w:r>
          </w:p>
        </w:tc>
      </w:tr>
      <w:tr>
        <w:tc>
          <w:tcPr/>
          <w:p>
            <w:pPr>
              <w:pStyle w:val="Compact"/>
              <w:jc w:val="left"/>
            </w:pPr>
            <w:r>
              <w:t xml:space="preserve">Pickthall</w:t>
            </w:r>
          </w:p>
        </w:tc>
        <w:tc>
          <w:tcPr/>
          <w:p>
            <w:pPr>
              <w:pStyle w:val="Compact"/>
              <w:jc w:val="left"/>
            </w:pPr>
            <w:r>
              <w:t xml:space="preserve">“</w:t>
            </w:r>
            <w:r>
              <w:t xml:space="preserve">the word of self-restraint</w:t>
            </w:r>
            <w:r>
              <w:t xml:space="preserve">”</w:t>
            </w:r>
          </w:p>
        </w:tc>
      </w:tr>
      <w:tr>
        <w:tc>
          <w:tcPr/>
          <w:p>
            <w:pPr>
              <w:pStyle w:val="Compact"/>
              <w:jc w:val="left"/>
            </w:pPr>
            <w:r>
              <w:t xml:space="preserve">Yusuf Ali</w:t>
            </w:r>
          </w:p>
        </w:tc>
        <w:tc>
          <w:tcPr/>
          <w:p>
            <w:pPr>
              <w:pStyle w:val="Compact"/>
              <w:jc w:val="left"/>
            </w:pPr>
            <w:r>
              <w:t xml:space="preserve">“</w:t>
            </w:r>
            <w:r>
              <w:t xml:space="preserve">the command of self-restraint</w:t>
            </w:r>
            <w:r>
              <w:t xml:space="preserve">”</w:t>
            </w:r>
          </w:p>
        </w:tc>
      </w:tr>
      <w:tr>
        <w:tc>
          <w:tcPr/>
          <w:p>
            <w:pPr>
              <w:pStyle w:val="Compact"/>
              <w:jc w:val="left"/>
            </w:pPr>
            <w:r>
              <w:t xml:space="preserve">Arberry</w:t>
            </w:r>
          </w:p>
        </w:tc>
        <w:tc>
          <w:tcPr/>
          <w:p>
            <w:pPr>
              <w:pStyle w:val="Compact"/>
              <w:jc w:val="left"/>
            </w:pPr>
            <w:r>
              <w:t xml:space="preserve">“</w:t>
            </w:r>
            <w:r>
              <w:t xml:space="preserve">the word of godfearing</w:t>
            </w:r>
            <w:r>
              <w:t xml:space="preserve">”</w:t>
            </w:r>
          </w:p>
        </w:tc>
      </w:tr>
      <w:tr>
        <w:tc>
          <w:tcPr/>
          <w:p>
            <w:pPr>
              <w:pStyle w:val="Compact"/>
              <w:jc w:val="left"/>
            </w:pPr>
            <w:r>
              <w:t xml:space="preserve">al-Hilali and Khan</w:t>
            </w:r>
          </w:p>
        </w:tc>
        <w:tc>
          <w:tcPr/>
          <w:p>
            <w:pPr>
              <w:pStyle w:val="Compact"/>
              <w:jc w:val="left"/>
            </w:pPr>
            <w:r>
              <w:t xml:space="preserve">“</w:t>
            </w:r>
            <w:r>
              <w:t xml:space="preserve">the word of piety</w:t>
            </w:r>
            <w:r>
              <w:t xml:space="preserve">”</w:t>
            </w:r>
            <w:r>
              <w:t xml:space="preserve">, with a parenthetical gloss pointing to the creed</w:t>
            </w:r>
          </w:p>
        </w:tc>
      </w:tr>
    </w:tbl>
    <w:p>
      <w:pPr>
        <w:pStyle w:val="BodyText"/>
      </w:pPr>
      <w:r>
        <w:t xml:space="preserve">The doctrinal content here is presupposed, not lexical, and only explicit annotation preserves it. The verse’s setting reinforces the point. It belongs to the period of the Ḥudaybiyyah agreement and contrasts the believers’ adherence to this formula with the</w:t>
      </w:r>
      <w:r>
        <w:t xml:space="preserve"> </w:t>
      </w:r>
      <w:r>
        <w:t xml:space="preserve">“</w:t>
      </w:r>
      <w:r>
        <w:t xml:space="preserve">chauvinism of the time of ignorance</w:t>
      </w:r>
      <w:r>
        <w:t xml:space="preserve">”</w:t>
      </w:r>
      <w:r>
        <w:t xml:space="preserve"> </w:t>
      </w:r>
      <w:r>
        <w:t xml:space="preserve">in the hearts of their opponents. An ethical phrase such as</w:t>
      </w:r>
      <w:r>
        <w:t xml:space="preserve"> </w:t>
      </w:r>
      <w:r>
        <w:t xml:space="preserve">“</w:t>
      </w:r>
      <w:r>
        <w:t xml:space="preserve">the word of righteousness</w:t>
      </w:r>
      <w:r>
        <w:t xml:space="preserve">”</w:t>
      </w:r>
      <w:r>
        <w:t xml:space="preserve"> </w:t>
      </w:r>
      <w:r>
        <w:t xml:space="preserve">leaves the English reader with a moral exhortation where the source names a confession of faith.</w:t>
      </w:r>
    </w:p>
    <w:p>
      <w:pPr>
        <w:pStyle w:val="BodyText"/>
      </w:pPr>
      <w:r>
        <w:rPr>
          <w:bCs/>
          <w:b/>
        </w:rPr>
        <w:t xml:space="preserve">74:56: God as the object of</w:t>
      </w:r>
      <w:r>
        <w:rPr>
          <w:bCs/>
          <w:b/>
        </w:rPr>
        <w:t xml:space="preserve"> </w:t>
      </w:r>
      <w:r>
        <w:rPr>
          <w:iCs/>
          <w:i/>
          <w:bCs/>
          <w:b/>
        </w:rPr>
        <w:t xml:space="preserve">taqwā</w:t>
      </w:r>
      <w:r>
        <w:rPr>
          <w:bCs/>
          <w:b/>
        </w:rPr>
        <w:t xml:space="preserve">.</w:t>
      </w:r>
      <w:r>
        <w:t xml:space="preserve"> </w:t>
      </w:r>
      <w:r>
        <w:t xml:space="preserve">In</w:t>
      </w:r>
      <w:r>
        <w:t xml:space="preserve"> </w:t>
      </w:r>
      <w:r>
        <w:rPr>
          <w:iCs/>
          <w:i/>
        </w:rPr>
        <w:t xml:space="preserve">huwa ahlu al-taqwā wa-ahlu al-maghfirah</w:t>
      </w:r>
      <w:r>
        <w:t xml:space="preserve">, God is</w:t>
      </w:r>
      <w:r>
        <w:t xml:space="preserve"> </w:t>
      </w:r>
      <w:r>
        <w:t xml:space="preserve">“</w:t>
      </w:r>
      <w:r>
        <w:t xml:space="preserve">the One worthy of</w:t>
      </w:r>
      <w:r>
        <w:t xml:space="preserve"> </w:t>
      </w:r>
      <w:r>
        <w:rPr>
          <w:iCs/>
          <w:i/>
        </w:rPr>
        <w:t xml:space="preserve">taqwā</w:t>
      </w:r>
      <w:r>
        <w:t xml:space="preserve"> </w:t>
      </w:r>
      <w:r>
        <w:t xml:space="preserve">and worthy of forgiveness</w:t>
      </w:r>
      <w:r>
        <w:t xml:space="preserve">”</w:t>
      </w:r>
      <w:r>
        <w:t xml:space="preserve">. The translations diverge sharply: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Translation</w:t>
            </w:r>
          </w:p>
        </w:tc>
        <w:tc>
          <w:tcPr/>
          <w:p>
            <w:pPr>
              <w:pStyle w:val="Compact"/>
              <w:jc w:val="left"/>
            </w:pPr>
            <w:r>
              <w:t xml:space="preserve">74:56 rendering</w:t>
            </w:r>
          </w:p>
        </w:tc>
      </w:tr>
      <w:tr>
        <w:tc>
          <w:tcPr/>
          <w:p>
            <w:pPr>
              <w:pStyle w:val="Compact"/>
              <w:jc w:val="left"/>
            </w:pPr>
            <w:r>
              <w:t xml:space="preserve">QAC gloss / Arberry</w:t>
            </w:r>
          </w:p>
        </w:tc>
        <w:tc>
          <w:tcPr/>
          <w:p>
            <w:pPr>
              <w:pStyle w:val="Compact"/>
              <w:jc w:val="left"/>
            </w:pPr>
            <w:r>
              <w:t xml:space="preserve">“</w:t>
            </w:r>
            <w:r>
              <w:t xml:space="preserve">to be feared</w:t>
            </w:r>
            <w:r>
              <w:t xml:space="preserve">”</w:t>
            </w:r>
          </w:p>
        </w:tc>
      </w:tr>
      <w:tr>
        <w:tc>
          <w:tcPr/>
          <w:p>
            <w:pPr>
              <w:pStyle w:val="Compact"/>
              <w:jc w:val="left"/>
            </w:pPr>
            <w:r>
              <w:t xml:space="preserve">Sahih International</w:t>
            </w:r>
          </w:p>
        </w:tc>
        <w:tc>
          <w:tcPr/>
          <w:p>
            <w:pPr>
              <w:pStyle w:val="Compact"/>
              <w:jc w:val="left"/>
            </w:pPr>
            <w:r>
              <w:t xml:space="preserve">“</w:t>
            </w:r>
            <w:r>
              <w:t xml:space="preserve">worthy of fear</w:t>
            </w:r>
            <w:r>
              <w:t xml:space="preserve">”</w:t>
            </w:r>
          </w:p>
        </w:tc>
      </w:tr>
      <w:tr>
        <w:tc>
          <w:tcPr/>
          <w:p>
            <w:pPr>
              <w:pStyle w:val="Compact"/>
              <w:jc w:val="left"/>
            </w:pPr>
            <w:r>
              <w:t xml:space="preserve">Pickthall</w:t>
            </w:r>
          </w:p>
        </w:tc>
        <w:tc>
          <w:tcPr/>
          <w:p>
            <w:pPr>
              <w:pStyle w:val="Compact"/>
              <w:jc w:val="left"/>
            </w:pPr>
            <w:r>
              <w:t xml:space="preserve">“</w:t>
            </w:r>
            <w:r>
              <w:t xml:space="preserve">the fount of fear</w:t>
            </w:r>
            <w:r>
              <w:t xml:space="preserve">”</w:t>
            </w:r>
          </w:p>
        </w:tc>
      </w:tr>
      <w:tr>
        <w:tc>
          <w:tcPr/>
          <w:p>
            <w:pPr>
              <w:pStyle w:val="Compact"/>
              <w:jc w:val="left"/>
            </w:pPr>
            <w:r>
              <w:t xml:space="preserve">Yusuf Ali</w:t>
            </w:r>
          </w:p>
        </w:tc>
        <w:tc>
          <w:tcPr/>
          <w:p>
            <w:pPr>
              <w:pStyle w:val="Compact"/>
              <w:jc w:val="left"/>
            </w:pPr>
            <w:r>
              <w:t xml:space="preserve">“</w:t>
            </w:r>
            <w:r>
              <w:t xml:space="preserve">the Lord of Righteousness</w:t>
            </w:r>
            <w:r>
              <w:t xml:space="preserve">”</w:t>
            </w:r>
          </w:p>
        </w:tc>
      </w:tr>
      <w:tr>
        <w:tc>
          <w:tcPr/>
          <w:p>
            <w:pPr>
              <w:pStyle w:val="Compact"/>
              <w:jc w:val="left"/>
            </w:pPr>
            <w:r>
              <w:t xml:space="preserve">al-Hilali and Khan</w:t>
            </w:r>
          </w:p>
        </w:tc>
        <w:tc>
          <w:tcPr/>
          <w:p>
            <w:pPr>
              <w:pStyle w:val="Compact"/>
              <w:jc w:val="left"/>
            </w:pPr>
            <w:r>
              <w:t xml:space="preserve">a paraphrase on fear and dutifulness</w:t>
            </w:r>
          </w:p>
        </w:tc>
      </w:tr>
    </w:tbl>
    <w:p>
      <w:pPr>
        <w:pStyle w:val="BodyText"/>
      </w:pPr>
      <w:r>
        <w:t xml:space="preserve">Here the term describes the right relation of creatures to God, not a quality of a person, and an ethical noun such as</w:t>
      </w:r>
      <w:r>
        <w:t xml:space="preserve"> </w:t>
      </w:r>
      <w:r>
        <w:rPr>
          <w:iCs/>
          <w:i/>
        </w:rPr>
        <w:t xml:space="preserve">righteousness</w:t>
      </w:r>
      <w:r>
        <w:t xml:space="preserve"> </w:t>
      </w:r>
      <w:r>
        <w:t xml:space="preserve">fits awkwardly. The fear-based renderings fit the syntax better. But they isolate one affect from a concept that the commentators describe as combining fear with hope, reverence and obedience (al-Ghazālī 1995; al-Qurṭubī 2007).</w:t>
      </w:r>
    </w:p>
    <w:p>
      <w:pPr>
        <w:pStyle w:val="BodyText"/>
      </w:pPr>
      <w:r>
        <w:rPr>
          <w:bCs/>
          <w:b/>
        </w:rPr>
        <w:t xml:space="preserve">22:37: ritual devotion.</w:t>
      </w:r>
      <w:r>
        <w:t xml:space="preserve"> </w:t>
      </w:r>
      <w:r>
        <w:t xml:space="preserve">The same multiplicity appears in the sacrificial context of 22:37,</w:t>
      </w:r>
      <w:r>
        <w:t xml:space="preserve"> </w:t>
      </w:r>
      <w:r>
        <w:t xml:space="preserve">“</w:t>
      </w:r>
      <w:r>
        <w:t xml:space="preserve">their flesh and their blood do not reach God, but</w:t>
      </w:r>
      <w:r>
        <w:t xml:space="preserve"> </w:t>
      </w:r>
      <w:r>
        <w:rPr>
          <w:iCs/>
          <w:i/>
        </w:rPr>
        <w:t xml:space="preserve">taqwā</w:t>
      </w:r>
      <w:r>
        <w:t xml:space="preserve"> </w:t>
      </w:r>
      <w:r>
        <w:t xml:space="preserve">from you reaches Him</w:t>
      </w:r>
      <w:r>
        <w:t xml:space="preserve">”</w:t>
      </w:r>
      <w:r>
        <w:t xml:space="preserve">:</w:t>
      </w:r>
    </w:p>
    <w:tbl>
      <w:tblPr>
        <w:tblStyle w:val="Table"/>
        <w:tblW w:type="pct" w:w="5000"/>
        <w:tblLook w:firstRow="1" w:lastRow="0" w:firstColumn="0" w:lastColumn="0" w:noHBand="0" w:noVBand="0" w:val="0020"/>
        <w:jc w:val="start"/>
      </w:tblPr>
      <w:tblGrid>
        <w:gridCol w:w="3432"/>
        <w:gridCol w:w="4488"/>
      </w:tblGrid>
      <w:tr>
        <w:trPr>
          <w:tblHeader w:val="true"/>
        </w:trPr>
        <w:tc>
          <w:tcPr/>
          <w:p>
            <w:pPr>
              <w:pStyle w:val="Compact"/>
              <w:jc w:val="left"/>
            </w:pPr>
            <w:r>
              <w:t xml:space="preserve">Translation</w:t>
            </w:r>
          </w:p>
        </w:tc>
        <w:tc>
          <w:tcPr/>
          <w:p>
            <w:pPr>
              <w:pStyle w:val="Compact"/>
              <w:jc w:val="left"/>
            </w:pPr>
            <w:r>
              <w:t xml:space="preserve">22:37 rendering</w:t>
            </w:r>
          </w:p>
        </w:tc>
      </w:tr>
      <w:tr>
        <w:tc>
          <w:tcPr/>
          <w:p>
            <w:pPr>
              <w:pStyle w:val="Compact"/>
              <w:jc w:val="left"/>
            </w:pPr>
            <w:r>
              <w:t xml:space="preserve">QAC gloss, Sahih International, Yusuf Ali, al-Hilali and Khan</w:t>
            </w:r>
          </w:p>
        </w:tc>
        <w:tc>
          <w:tcPr/>
          <w:p>
            <w:pPr>
              <w:pStyle w:val="Compact"/>
              <w:jc w:val="left"/>
            </w:pPr>
            <w:r>
              <w:t xml:space="preserve">“</w:t>
            </w:r>
            <w:r>
              <w:t xml:space="preserve">piety</w:t>
            </w:r>
            <w:r>
              <w:t xml:space="preserve">”</w:t>
            </w:r>
          </w:p>
        </w:tc>
      </w:tr>
      <w:tr>
        <w:tc>
          <w:tcPr/>
          <w:p>
            <w:pPr>
              <w:pStyle w:val="Compact"/>
              <w:jc w:val="left"/>
            </w:pPr>
            <w:r>
              <w:t xml:space="preserve">Pickthall</w:t>
            </w:r>
          </w:p>
        </w:tc>
        <w:tc>
          <w:tcPr/>
          <w:p>
            <w:pPr>
              <w:pStyle w:val="Compact"/>
              <w:jc w:val="left"/>
            </w:pPr>
            <w:r>
              <w:t xml:space="preserve">“</w:t>
            </w:r>
            <w:r>
              <w:t xml:space="preserve">devotion</w:t>
            </w:r>
            <w:r>
              <w:t xml:space="preserve">”</w:t>
            </w:r>
          </w:p>
        </w:tc>
      </w:tr>
      <w:tr>
        <w:tc>
          <w:tcPr/>
          <w:p>
            <w:pPr>
              <w:pStyle w:val="Compact"/>
              <w:jc w:val="left"/>
            </w:pPr>
            <w:r>
              <w:t xml:space="preserve">Arberry</w:t>
            </w:r>
          </w:p>
        </w:tc>
        <w:tc>
          <w:tcPr/>
          <w:p>
            <w:pPr>
              <w:pStyle w:val="Compact"/>
              <w:jc w:val="left"/>
            </w:pPr>
            <w:r>
              <w:t xml:space="preserve">“</w:t>
            </w:r>
            <w:r>
              <w:t xml:space="preserve">godliness</w:t>
            </w:r>
            <w:r>
              <w:t xml:space="preserve">”</w:t>
            </w:r>
          </w:p>
        </w:tc>
      </w:tr>
    </w:tbl>
    <w:p>
      <w:pPr>
        <w:pStyle w:val="BodyText"/>
      </w:pPr>
      <w:r>
        <w:t xml:space="preserve">All three words suit the ritual frame of the verse. Their agreement here, against their disagreement elsewhere, suggests that ritual co-text gives translators a shared anchor that more abstract uses of</w:t>
      </w:r>
      <w:r>
        <w:t xml:space="preserve"> </w:t>
      </w:r>
      <w:r>
        <w:rPr>
          <w:iCs/>
          <w:i/>
        </w:rPr>
        <w:t xml:space="preserve">taqwā</w:t>
      </w:r>
      <w:r>
        <w:t xml:space="preserve"> </w:t>
      </w:r>
      <w:r>
        <w:t xml:space="preserve">lack.</w:t>
      </w:r>
    </w:p>
    <w:bookmarkEnd w:id="33"/>
    <w:bookmarkStart w:id="34" w:name="raḥmat-the-stable-term"/>
    <w:p>
      <w:pPr>
        <w:pStyle w:val="Heading2"/>
      </w:pPr>
      <w:r>
        <w:t xml:space="preserve">4.3</w:t>
      </w:r>
      <w:r>
        <w:t xml:space="preserve"> </w:t>
      </w:r>
      <w:r>
        <w:rPr>
          <w:iCs/>
          <w:i/>
        </w:rPr>
        <w:t xml:space="preserve">Raḥmat</w:t>
      </w:r>
      <w:r>
        <w:t xml:space="preserve">: the stable term</w:t>
      </w:r>
    </w:p>
    <w:p>
      <w:pPr>
        <w:pStyle w:val="FirstParagraph"/>
      </w:pPr>
      <w:r>
        <w:rPr>
          <w:iCs/>
          <w:i/>
        </w:rPr>
        <w:t xml:space="preserve">Raḥmat</w:t>
      </w:r>
      <w:r>
        <w:t xml:space="preserve"> </w:t>
      </w:r>
      <w:r>
        <w:t xml:space="preserve">behaves very differently (Table 3).</w:t>
      </w:r>
    </w:p>
    <w:p>
      <w:pPr>
        <w:pStyle w:val="BodyText"/>
      </w:pPr>
      <w:r>
        <w:rPr>
          <w:iCs/>
          <w:i/>
        </w:rPr>
        <w:t xml:space="preserve">Table 3. Renderings of the 114 tokens of raḥmat</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Family</w:t>
            </w:r>
          </w:p>
        </w:tc>
        <w:tc>
          <w:tcPr/>
          <w:p>
            <w:pPr>
              <w:pStyle w:val="Compact"/>
              <w:jc w:val="right"/>
            </w:pPr>
            <w:r>
              <w:t xml:space="preserve">QAC gloss</w:t>
            </w:r>
          </w:p>
        </w:tc>
        <w:tc>
          <w:tcPr/>
          <w:p>
            <w:pPr>
              <w:pStyle w:val="Compact"/>
              <w:jc w:val="right"/>
            </w:pPr>
            <w:r>
              <w:t xml:space="preserve">SI</w:t>
            </w:r>
          </w:p>
        </w:tc>
        <w:tc>
          <w:tcPr/>
          <w:p>
            <w:pPr>
              <w:pStyle w:val="Compact"/>
              <w:jc w:val="right"/>
            </w:pPr>
            <w:r>
              <w:t xml:space="preserve">PI</w:t>
            </w:r>
          </w:p>
        </w:tc>
        <w:tc>
          <w:tcPr/>
          <w:p>
            <w:pPr>
              <w:pStyle w:val="Compact"/>
              <w:jc w:val="right"/>
            </w:pPr>
            <w:r>
              <w:t xml:space="preserve">YA</w:t>
            </w:r>
          </w:p>
        </w:tc>
        <w:tc>
          <w:tcPr/>
          <w:p>
            <w:pPr>
              <w:pStyle w:val="Compact"/>
              <w:jc w:val="right"/>
            </w:pPr>
            <w:r>
              <w:t xml:space="preserve">AR</w:t>
            </w:r>
          </w:p>
        </w:tc>
        <w:tc>
          <w:tcPr/>
          <w:p>
            <w:pPr>
              <w:pStyle w:val="Compact"/>
              <w:jc w:val="right"/>
            </w:pPr>
            <w:r>
              <w:t xml:space="preserve">HK</w:t>
            </w:r>
          </w:p>
        </w:tc>
      </w:tr>
      <w:tr>
        <w:tc>
          <w:tcPr/>
          <w:p>
            <w:pPr>
              <w:pStyle w:val="Compact"/>
              <w:jc w:val="left"/>
            </w:pPr>
            <w:r>
              <w:t xml:space="preserve">mercy (incl. </w:t>
            </w:r>
            <w:r>
              <w:rPr>
                <w:iCs/>
                <w:i/>
              </w:rPr>
              <w:t xml:space="preserve">merciful</w:t>
            </w:r>
            <w:r>
              <w:t xml:space="preserve">)</w:t>
            </w:r>
          </w:p>
        </w:tc>
        <w:tc>
          <w:tcPr/>
          <w:p>
            <w:pPr>
              <w:pStyle w:val="Compact"/>
              <w:jc w:val="right"/>
            </w:pPr>
            <w:r>
              <w:t xml:space="preserve">114</w:t>
            </w:r>
          </w:p>
        </w:tc>
        <w:tc>
          <w:tcPr/>
          <w:p>
            <w:pPr>
              <w:pStyle w:val="Compact"/>
              <w:jc w:val="right"/>
            </w:pPr>
            <w:r>
              <w:t xml:space="preserve">114</w:t>
            </w:r>
          </w:p>
        </w:tc>
        <w:tc>
          <w:tcPr/>
          <w:p>
            <w:pPr>
              <w:pStyle w:val="Compact"/>
              <w:jc w:val="right"/>
            </w:pPr>
            <w:r>
              <w:t xml:space="preserve">113</w:t>
            </w:r>
          </w:p>
        </w:tc>
        <w:tc>
          <w:tcPr/>
          <w:p>
            <w:pPr>
              <w:pStyle w:val="Compact"/>
              <w:jc w:val="right"/>
            </w:pPr>
            <w:r>
              <w:t xml:space="preserve">106</w:t>
            </w:r>
          </w:p>
        </w:tc>
        <w:tc>
          <w:tcPr/>
          <w:p>
            <w:pPr>
              <w:pStyle w:val="Compact"/>
              <w:jc w:val="right"/>
            </w:pPr>
            <w:r>
              <w:t xml:space="preserve">113</w:t>
            </w:r>
          </w:p>
        </w:tc>
        <w:tc>
          <w:tcPr/>
          <w:p>
            <w:pPr>
              <w:pStyle w:val="Compact"/>
              <w:jc w:val="right"/>
            </w:pPr>
            <w:r>
              <w:t xml:space="preserve">114</w:t>
            </w:r>
          </w:p>
        </w:tc>
      </w:tr>
      <w:tr>
        <w:tc>
          <w:tcPr/>
          <w:p>
            <w:pPr>
              <w:pStyle w:val="Compact"/>
              <w:jc w:val="left"/>
            </w:pPr>
            <w:r>
              <w:t xml:space="preserve">grace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compassion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not rendered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p>
      <w:pPr>
        <w:pStyle w:val="BodyText"/>
      </w:pPr>
      <w:r>
        <w:t xml:space="preserve">Even full translations treat</w:t>
      </w:r>
      <w:r>
        <w:t xml:space="preserve"> </w:t>
      </w:r>
      <w:r>
        <w:rPr>
          <w:iCs/>
          <w:i/>
        </w:rPr>
        <w:t xml:space="preserve">mercy</w:t>
      </w:r>
      <w:r>
        <w:t xml:space="preserve"> </w:t>
      </w:r>
      <w:r>
        <w:t xml:space="preserve">as the standard English equivalent of</w:t>
      </w:r>
      <w:r>
        <w:t xml:space="preserve"> </w:t>
      </w:r>
      <w:r>
        <w:rPr>
          <w:iCs/>
          <w:i/>
        </w:rPr>
        <w:t xml:space="preserve">raḥmat</w:t>
      </w:r>
      <w:r>
        <w:t xml:space="preserve">. The default gloss is therefore not a quirk of interlinear glossing but a shared convention of English Qur’an translation. Three departures are worth noting:</w:t>
      </w:r>
    </w:p>
    <w:p>
      <w:pPr>
        <w:numPr>
          <w:ilvl w:val="0"/>
          <w:numId w:val="1013"/>
        </w:numPr>
        <w:pStyle w:val="Compact"/>
      </w:pPr>
      <w:r>
        <w:rPr>
          <w:bCs/>
          <w:b/>
        </w:rPr>
        <w:t xml:space="preserve">Pickthall, 27:19.</w:t>
      </w:r>
      <w:r>
        <w:t xml:space="preserve"> </w:t>
      </w:r>
      <w:r>
        <w:t xml:space="preserve">Solomon’s prayer</w:t>
      </w:r>
      <w:r>
        <w:t xml:space="preserve"> </w:t>
      </w:r>
      <w:r>
        <w:t xml:space="preserve">“</w:t>
      </w:r>
      <w:r>
        <w:t xml:space="preserve">admit me by Your</w:t>
      </w:r>
      <w:r>
        <w:t xml:space="preserve"> </w:t>
      </w:r>
      <w:r>
        <w:rPr>
          <w:iCs/>
          <w:i/>
        </w:rPr>
        <w:t xml:space="preserve">raḥmat</w:t>
      </w:r>
      <w:r>
        <w:t xml:space="preserve"> </w:t>
      </w:r>
      <w:r>
        <w:t xml:space="preserve">among Your righteous servants</w:t>
      </w:r>
      <w:r>
        <w:t xml:space="preserve">”</w:t>
      </w:r>
      <w:r>
        <w:t xml:space="preserve"> </w:t>
      </w:r>
      <w:r>
        <w:t xml:space="preserve">becomes</w:t>
      </w:r>
      <w:r>
        <w:t xml:space="preserve"> </w:t>
      </w:r>
      <w:r>
        <w:t xml:space="preserve">“</w:t>
      </w:r>
      <w:r>
        <w:t xml:space="preserve">include me in (the number of) Thy righteous slaves</w:t>
      </w:r>
      <w:r>
        <w:t xml:space="preserve">”</w:t>
      </w:r>
      <w:r>
        <w:t xml:space="preserve">, with the instrumental phrase left out.</w:t>
      </w:r>
    </w:p>
    <w:p>
      <w:pPr>
        <w:numPr>
          <w:ilvl w:val="0"/>
          <w:numId w:val="1013"/>
        </w:numPr>
        <w:pStyle w:val="Compact"/>
      </w:pPr>
      <w:r>
        <w:rPr>
          <w:bCs/>
          <w:b/>
        </w:rPr>
        <w:t xml:space="preserve">Arberry.</w:t>
      </w:r>
      <w:r>
        <w:t xml:space="preserve"> </w:t>
      </w:r>
      <w:r>
        <w:t xml:space="preserve">He uses</w:t>
      </w:r>
      <w:r>
        <w:t xml:space="preserve"> </w:t>
      </w:r>
      <w:r>
        <w:rPr>
          <w:iCs/>
          <w:i/>
        </w:rPr>
        <w:t xml:space="preserve">compassion</w:t>
      </w:r>
      <w:r>
        <w:t xml:space="preserve"> </w:t>
      </w:r>
      <w:r>
        <w:t xml:space="preserve">once (2:218) and the adjective</w:t>
      </w:r>
      <w:r>
        <w:t xml:space="preserve"> </w:t>
      </w:r>
      <w:r>
        <w:rPr>
          <w:iCs/>
          <w:i/>
        </w:rPr>
        <w:t xml:space="preserve">Merciful</w:t>
      </w:r>
      <w:r>
        <w:t xml:space="preserve"> </w:t>
      </w:r>
      <w:r>
        <w:t xml:space="preserve">for</w:t>
      </w:r>
      <w:r>
        <w:t xml:space="preserve"> </w:t>
      </w:r>
      <w:r>
        <w:rPr>
          <w:iCs/>
          <w:i/>
        </w:rPr>
        <w:t xml:space="preserve">dhū al-raḥmah</w:t>
      </w:r>
      <w:r>
        <w:t xml:space="preserve"> </w:t>
      </w:r>
      <w:r>
        <w:t xml:space="preserve">at 6:133.</w:t>
      </w:r>
    </w:p>
    <w:p>
      <w:pPr>
        <w:numPr>
          <w:ilvl w:val="0"/>
          <w:numId w:val="1013"/>
        </w:numPr>
        <w:pStyle w:val="Compact"/>
      </w:pPr>
      <w:r>
        <w:rPr>
          <w:bCs/>
          <w:b/>
        </w:rPr>
        <w:t xml:space="preserve">Yusuf Ali.</w:t>
      </w:r>
      <w:r>
        <w:t xml:space="preserve"> </w:t>
      </w:r>
      <w:r>
        <w:t xml:space="preserve">His eight uses of</w:t>
      </w:r>
      <w:r>
        <w:t xml:space="preserve"> </w:t>
      </w:r>
      <w:r>
        <w:rPr>
          <w:iCs/>
          <w:i/>
        </w:rPr>
        <w:t xml:space="preserve">Grace</w:t>
      </w:r>
      <w:r>
        <w:t xml:space="preserve"> </w:t>
      </w:r>
      <w:r>
        <w:t xml:space="preserve">cluster where</w:t>
      </w:r>
      <w:r>
        <w:t xml:space="preserve"> </w:t>
      </w:r>
      <w:r>
        <w:rPr>
          <w:iCs/>
          <w:i/>
        </w:rPr>
        <w:t xml:space="preserve">raḥmat</w:t>
      </w:r>
      <w:r>
        <w:t xml:space="preserve"> </w:t>
      </w:r>
      <w:r>
        <w:t xml:space="preserve">names a concrete, saving divine favour:</w:t>
      </w:r>
    </w:p>
    <w:p>
      <w:pPr>
        <w:numPr>
          <w:ilvl w:val="1"/>
          <w:numId w:val="1014"/>
        </w:numPr>
        <w:pStyle w:val="Compact"/>
      </w:pPr>
      <w:r>
        <w:t xml:space="preserve">the rescue of Hūd and Ṣāliḥ and their followers (11:58, 11:66);</w:t>
      </w:r>
    </w:p>
    <w:p>
      <w:pPr>
        <w:numPr>
          <w:ilvl w:val="1"/>
          <w:numId w:val="1014"/>
        </w:numPr>
        <w:pStyle w:val="Compact"/>
      </w:pPr>
      <w:r>
        <w:t xml:space="preserve">the blessing on Abraham’s household (11:73);</w:t>
      </w:r>
    </w:p>
    <w:p>
      <w:pPr>
        <w:numPr>
          <w:ilvl w:val="1"/>
          <w:numId w:val="1014"/>
        </w:numPr>
        <w:pStyle w:val="Compact"/>
      </w:pPr>
      <w:r>
        <w:t xml:space="preserve">the restoration of Job’s family (21:84, 38:43);</w:t>
      </w:r>
    </w:p>
    <w:p>
      <w:pPr>
        <w:numPr>
          <w:ilvl w:val="1"/>
          <w:numId w:val="1014"/>
        </w:numPr>
        <w:pStyle w:val="Compact"/>
      </w:pPr>
      <w:r>
        <w:t xml:space="preserve">Solomon’s admission among the righteous (27:19);</w:t>
      </w:r>
    </w:p>
    <w:p>
      <w:pPr>
        <w:numPr>
          <w:ilvl w:val="1"/>
          <w:numId w:val="1014"/>
        </w:numPr>
        <w:pStyle w:val="Compact"/>
      </w:pPr>
      <w:r>
        <w:t xml:space="preserve">favour as the opposite of harm (39:38, two tokens).</w:t>
      </w:r>
    </w:p>
    <w:p>
      <w:pPr>
        <w:pStyle w:val="FirstParagraph"/>
      </w:pPr>
      <w:r>
        <w:t xml:space="preserve">These are the operative senses that al-Qurṭubī distinguishes within</w:t>
      </w:r>
      <w:r>
        <w:t xml:space="preserve"> </w:t>
      </w:r>
      <w:r>
        <w:rPr>
          <w:iCs/>
          <w:i/>
        </w:rPr>
        <w:t xml:space="preserve">raḥmat</w:t>
      </w:r>
      <w:r>
        <w:t xml:space="preserve"> </w:t>
      </w:r>
      <w:r>
        <w:t xml:space="preserve">(favour, guidance, forgiveness) and that al-Ṭabarī reads as God’s comprehensive care. Yusuf Ali’s practice shows that differentiation is possible in English. It also shows its cost:</w:t>
      </w:r>
      <w:r>
        <w:t xml:space="preserve"> </w:t>
      </w:r>
      <w:r>
        <w:rPr>
          <w:iCs/>
          <w:i/>
        </w:rPr>
        <w:t xml:space="preserve">grace</w:t>
      </w:r>
      <w:r>
        <w:t xml:space="preserve"> </w:t>
      </w:r>
      <w:r>
        <w:t xml:space="preserve">brings in Christian theological associations, which Baker would class as evoked meaning, that are foreign to the source.</w:t>
      </w:r>
    </w:p>
    <w:p>
      <w:pPr>
        <w:pStyle w:val="BodyText"/>
      </w:pPr>
      <w:r>
        <w:t xml:space="preserve">The QAC gloss shows the problem that remains. In 10:57</w:t>
      </w:r>
      <w:r>
        <w:t xml:space="preserve"> </w:t>
      </w:r>
      <w:r>
        <w:rPr>
          <w:iCs/>
          <w:i/>
        </w:rPr>
        <w:t xml:space="preserve">raḥmat</w:t>
      </w:r>
      <w:r>
        <w:t xml:space="preserve"> </w:t>
      </w:r>
      <w:r>
        <w:t xml:space="preserve">is one of four functions of revelation (admonition, healing, guidance and mercy), and in 11:63 the exegetical tradition reads it as prophethood itself. Both receive the same word,</w:t>
      </w:r>
      <w:r>
        <w:t xml:space="preserve"> </w:t>
      </w:r>
      <w:r>
        <w:rPr>
          <w:iCs/>
          <w:i/>
        </w:rPr>
        <w:t xml:space="preserve">mercy</w:t>
      </w:r>
      <w:r>
        <w:t xml:space="preserve">, as the rain-related</w:t>
      </w:r>
      <w:r>
        <w:t xml:space="preserve"> </w:t>
      </w:r>
      <w:r>
        <w:rPr>
          <w:iCs/>
          <w:i/>
        </w:rPr>
        <w:t xml:space="preserve">raḥmat</w:t>
      </w:r>
      <w:r>
        <w:t xml:space="preserve"> </w:t>
      </w:r>
      <w:r>
        <w:t xml:space="preserve">of 7:57 and the eschatological</w:t>
      </w:r>
      <w:r>
        <w:t xml:space="preserve"> </w:t>
      </w:r>
      <w:r>
        <w:rPr>
          <w:iCs/>
          <w:i/>
        </w:rPr>
        <w:t xml:space="preserve">raḥmat</w:t>
      </w:r>
      <w:r>
        <w:t xml:space="preserve"> </w:t>
      </w:r>
      <w:r>
        <w:t xml:space="preserve">of 3:107.</w:t>
      </w:r>
      <w:r>
        <w:t xml:space="preserve"> </w:t>
      </w:r>
      <w:r>
        <w:rPr>
          <w:iCs/>
          <w:i/>
        </w:rPr>
        <w:t xml:space="preserve">Mercy</w:t>
      </w:r>
      <w:r>
        <w:t xml:space="preserve"> </w:t>
      </w:r>
      <w:r>
        <w:t xml:space="preserve">in contemporary English presupposes a relation of power and a suspended punishment: the</w:t>
      </w:r>
      <w:r>
        <w:t xml:space="preserve"> </w:t>
      </w:r>
      <w:r>
        <w:rPr>
          <w:iCs/>
          <w:i/>
        </w:rPr>
        <w:t xml:space="preserve">Oxford Learner’s Dictionaries</w:t>
      </w:r>
      <w:r>
        <w:t xml:space="preserve"> </w:t>
      </w:r>
      <w:r>
        <w:t xml:space="preserve">define it as</w:t>
      </w:r>
      <w:r>
        <w:t xml:space="preserve"> </w:t>
      </w:r>
      <w:r>
        <w:t xml:space="preserve">“</w:t>
      </w:r>
      <w:r>
        <w:t xml:space="preserve">kindness or forgiveness shown to somebody you have power over</w:t>
      </w:r>
      <w:r>
        <w:t xml:space="preserve">”</w:t>
      </w:r>
      <w:r>
        <w:t xml:space="preserve">. Many Qur’anic contexts presuppose neither. Because sentence-level translations share the default, users who consult the gloss alongside the translations get no indication of the distinctions.</w:t>
      </w:r>
    </w:p>
    <w:p>
      <w:pPr>
        <w:pStyle w:val="BodyText"/>
      </w:pPr>
      <w:r>
        <w:rPr>
          <w:bCs/>
          <w:b/>
        </w:rPr>
        <w:t xml:space="preserve">10:57.</w:t>
      </w:r>
      <w:r>
        <w:t xml:space="preserve"> </w:t>
      </w:r>
      <w:r>
        <w:t xml:space="preserve">The Qur’an describes itself as</w:t>
      </w:r>
      <w:r>
        <w:t xml:space="preserve"> </w:t>
      </w:r>
      <w:r>
        <w:t xml:space="preserve">“</w:t>
      </w:r>
      <w:r>
        <w:t xml:space="preserve">instruction from your Lord, and healing for what is in the breasts, and guidance and mercy for the believers</w:t>
      </w:r>
      <w:r>
        <w:t xml:space="preserve">”</w:t>
      </w:r>
      <w:r>
        <w:t xml:space="preserve"> </w:t>
      </w:r>
      <w:r>
        <w:t xml:space="preserve">(Sahih International). Here</w:t>
      </w:r>
      <w:r>
        <w:t xml:space="preserve"> </w:t>
      </w:r>
      <w:r>
        <w:rPr>
          <w:iCs/>
          <w:i/>
        </w:rPr>
        <w:t xml:space="preserve">raḥmat</w:t>
      </w:r>
      <w:r>
        <w:t xml:space="preserve"> </w:t>
      </w:r>
      <w:r>
        <w:t xml:space="preserve">stands in parallel with three other functions of revelation, so the verse presents scripture itself as an active form of divine care. Read with the dictionary sense of</w:t>
      </w:r>
      <w:r>
        <w:t xml:space="preserve"> </w:t>
      </w:r>
      <w:r>
        <w:rPr>
          <w:iCs/>
          <w:i/>
        </w:rPr>
        <w:t xml:space="preserve">mercy</w:t>
      </w:r>
      <w:r>
        <w:t xml:space="preserve">, the English suggests forbearance towards those who might be punished. The source describes a function: revelation working as remedy and guidance. The propositional meaning survives in outline, while the presupposed meaning (no prior fault, an unearned gift) is replaced by one the English word brings with it.</w:t>
      </w:r>
    </w:p>
    <w:p>
      <w:pPr>
        <w:pStyle w:val="BodyText"/>
      </w:pPr>
      <w:r>
        <w:rPr>
          <w:bCs/>
          <w:b/>
        </w:rPr>
        <w:t xml:space="preserve">11:63.</w:t>
      </w:r>
      <w:r>
        <w:t xml:space="preserve"> </w:t>
      </w:r>
      <w:r>
        <w:t xml:space="preserve">The prophet Ṣāliḥ tells his people that God</w:t>
      </w:r>
      <w:r>
        <w:t xml:space="preserve"> </w:t>
      </w:r>
      <w:r>
        <w:t xml:space="preserve">“</w:t>
      </w:r>
      <w:r>
        <w:t xml:space="preserve">has given me mercy from Himself</w:t>
      </w:r>
      <w:r>
        <w:t xml:space="preserve">”</w:t>
      </w:r>
      <w:r>
        <w:t xml:space="preserve"> </w:t>
      </w:r>
      <w:r>
        <w:t xml:space="preserve">(Sahih International). In the exegetical tradition this</w:t>
      </w:r>
      <w:r>
        <w:t xml:space="preserve"> </w:t>
      </w:r>
      <w:r>
        <w:rPr>
          <w:iCs/>
          <w:i/>
        </w:rPr>
        <w:t xml:space="preserve">raḥmat</w:t>
      </w:r>
      <w:r>
        <w:t xml:space="preserve"> </w:t>
      </w:r>
      <w:r>
        <w:t xml:space="preserve">is frequently understood as prophethood: the specific commission entrusted to Ṣāliḥ. Neither the gloss nor any of the five translations distinguishes this sense from ordinary kindness. The English reader cannot tell</w:t>
      </w:r>
      <w:r>
        <w:t xml:space="preserve"> </w:t>
      </w:r>
      <w:r>
        <w:rPr>
          <w:iCs/>
          <w:i/>
        </w:rPr>
        <w:t xml:space="preserve">raḥmat</w:t>
      </w:r>
      <w:r>
        <w:t xml:space="preserve"> </w:t>
      </w:r>
      <w:r>
        <w:t xml:space="preserve">as prophetic commission from</w:t>
      </w:r>
      <w:r>
        <w:t xml:space="preserve"> </w:t>
      </w:r>
      <w:r>
        <w:rPr>
          <w:iCs/>
          <w:i/>
        </w:rPr>
        <w:t xml:space="preserve">raḥmat</w:t>
      </w:r>
      <w:r>
        <w:t xml:space="preserve"> </w:t>
      </w:r>
      <w:r>
        <w:t xml:space="preserve">as rain (7:57) or as deliverance (11:58), because all are carried by the same word. The consistency that a single equivalent provides is paid for with the reader’s ability to track which sense a verse intends.</w:t>
      </w:r>
    </w:p>
    <w:bookmarkEnd w:id="34"/>
    <w:bookmarkStart w:id="35" w:name="Xdf28374ae8d7717253ff1027dc226ed7c0b985b"/>
    <w:p>
      <w:pPr>
        <w:pStyle w:val="Heading2"/>
      </w:pPr>
      <w:r>
        <w:t xml:space="preserve">4.4</w:t>
      </w:r>
      <w:r>
        <w:t xml:space="preserve"> </w:t>
      </w:r>
      <w:r>
        <w:rPr>
          <w:iCs/>
          <w:i/>
        </w:rPr>
        <w:t xml:space="preserve">Kāfir</w:t>
      </w:r>
      <w:r>
        <w:t xml:space="preserve">: agent, act and the limits of the lemma</w:t>
      </w:r>
    </w:p>
    <w:p>
      <w:pPr>
        <w:pStyle w:val="FirstParagraph"/>
      </w:pPr>
      <w:r>
        <w:t xml:space="preserve">For</w:t>
      </w:r>
      <w:r>
        <w:t xml:space="preserve"> </w:t>
      </w:r>
      <w:r>
        <w:rPr>
          <w:iCs/>
          <w:i/>
        </w:rPr>
        <w:t xml:space="preserve">kāfir</w:t>
      </w:r>
      <w:r>
        <w:t xml:space="preserve"> </w:t>
      </w:r>
      <w:r>
        <w:t xml:space="preserve">all translations keep an agentive noun as their main strategy, but they differ in how often they recast it (Table 4).</w:t>
      </w:r>
    </w:p>
    <w:p>
      <w:pPr>
        <w:pStyle w:val="BodyText"/>
      </w:pPr>
      <w:r>
        <w:rPr>
          <w:iCs/>
          <w:i/>
        </w:rPr>
        <w:t xml:space="preserve">Table 4. Renderings of the 27 tokens of the noun kāfir</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Family</w:t>
            </w:r>
          </w:p>
        </w:tc>
        <w:tc>
          <w:tcPr/>
          <w:p>
            <w:pPr>
              <w:pStyle w:val="Compact"/>
              <w:jc w:val="right"/>
            </w:pPr>
            <w:r>
              <w:t xml:space="preserve">QAC gloss</w:t>
            </w:r>
          </w:p>
        </w:tc>
        <w:tc>
          <w:tcPr/>
          <w:p>
            <w:pPr>
              <w:pStyle w:val="Compact"/>
              <w:jc w:val="right"/>
            </w:pPr>
            <w:r>
              <w:t xml:space="preserve">SI</w:t>
            </w:r>
          </w:p>
        </w:tc>
        <w:tc>
          <w:tcPr/>
          <w:p>
            <w:pPr>
              <w:pStyle w:val="Compact"/>
              <w:jc w:val="right"/>
            </w:pPr>
            <w:r>
              <w:t xml:space="preserve">PI</w:t>
            </w:r>
          </w:p>
        </w:tc>
        <w:tc>
          <w:tcPr/>
          <w:p>
            <w:pPr>
              <w:pStyle w:val="Compact"/>
              <w:jc w:val="right"/>
            </w:pPr>
            <w:r>
              <w:t xml:space="preserve">YA</w:t>
            </w:r>
          </w:p>
        </w:tc>
        <w:tc>
          <w:tcPr/>
          <w:p>
            <w:pPr>
              <w:pStyle w:val="Compact"/>
              <w:jc w:val="right"/>
            </w:pPr>
            <w:r>
              <w:t xml:space="preserve">AR</w:t>
            </w:r>
          </w:p>
        </w:tc>
        <w:tc>
          <w:tcPr/>
          <w:p>
            <w:pPr>
              <w:pStyle w:val="Compact"/>
              <w:jc w:val="right"/>
            </w:pPr>
            <w:r>
              <w:t xml:space="preserve">HK</w:t>
            </w:r>
          </w:p>
        </w:tc>
      </w:tr>
      <w:tr>
        <w:tc>
          <w:tcPr/>
          <w:p>
            <w:pPr>
              <w:pStyle w:val="Compact"/>
              <w:jc w:val="left"/>
            </w:pPr>
            <w:r>
              <w:t xml:space="preserve">agentive noun</w:t>
            </w:r>
          </w:p>
        </w:tc>
        <w:tc>
          <w:tcPr/>
          <w:p>
            <w:pPr>
              <w:pStyle w:val="Compact"/>
              <w:jc w:val="right"/>
            </w:pPr>
            <w:r>
              <w:t xml:space="preserve">26</w:t>
            </w:r>
          </w:p>
        </w:tc>
        <w:tc>
          <w:tcPr/>
          <w:p>
            <w:pPr>
              <w:pStyle w:val="Compact"/>
              <w:jc w:val="right"/>
            </w:pPr>
            <w:r>
              <w:t xml:space="preserve">24</w:t>
            </w:r>
          </w:p>
        </w:tc>
        <w:tc>
          <w:tcPr/>
          <w:p>
            <w:pPr>
              <w:pStyle w:val="Compact"/>
              <w:jc w:val="right"/>
            </w:pPr>
            <w:r>
              <w:t xml:space="preserve">23</w:t>
            </w:r>
          </w:p>
        </w:tc>
        <w:tc>
          <w:tcPr/>
          <w:p>
            <w:pPr>
              <w:pStyle w:val="Compact"/>
              <w:jc w:val="right"/>
            </w:pPr>
            <w:r>
              <w:t xml:space="preserve">18</w:t>
            </w:r>
          </w:p>
        </w:tc>
        <w:tc>
          <w:tcPr/>
          <w:p>
            <w:pPr>
              <w:pStyle w:val="Compact"/>
              <w:jc w:val="right"/>
            </w:pPr>
            <w:r>
              <w:t xml:space="preserve">21</w:t>
            </w:r>
          </w:p>
        </w:tc>
        <w:tc>
          <w:tcPr/>
          <w:p>
            <w:pPr>
              <w:pStyle w:val="Compact"/>
              <w:jc w:val="right"/>
            </w:pPr>
            <w:r>
              <w:t xml:space="preserve">24</w:t>
            </w:r>
          </w:p>
        </w:tc>
      </w:tr>
      <w:tr>
        <w:tc>
          <w:tcPr/>
          <w:p>
            <w:pPr>
              <w:pStyle w:val="Compact"/>
              <w:jc w:val="left"/>
            </w:pPr>
            <w:r>
              <w:t xml:space="preserve">verbal reformulation</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6</w:t>
            </w:r>
          </w:p>
        </w:tc>
        <w:tc>
          <w:tcPr/>
          <w:p>
            <w:pPr>
              <w:pStyle w:val="Compact"/>
              <w:jc w:val="right"/>
            </w:pPr>
            <w:r>
              <w:t xml:space="preserve">6</w:t>
            </w:r>
          </w:p>
        </w:tc>
        <w:tc>
          <w:tcPr/>
          <w:p>
            <w:pPr>
              <w:pStyle w:val="Compact"/>
              <w:jc w:val="right"/>
            </w:pPr>
            <w:r>
              <w:t xml:space="preserve">1</w:t>
            </w:r>
          </w:p>
        </w:tc>
      </w:tr>
      <w:tr>
        <w:tc>
          <w:tcPr/>
          <w:p>
            <w:pPr>
              <w:pStyle w:val="Compact"/>
              <w:jc w:val="left"/>
            </w:pPr>
            <w:r>
              <w:t xml:space="preserve">abstract noun</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agricultural sense</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retention + gloss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bl>
    <w:p>
      <w:pPr>
        <w:pStyle w:val="BodyText"/>
      </w:pPr>
      <w:r>
        <w:rPr>
          <w:bCs/>
          <w:b/>
        </w:rPr>
        <w:t xml:space="preserve">Agentive nouns.</w:t>
      </w:r>
      <w:r>
        <w:t xml:space="preserve"> </w:t>
      </w:r>
      <w:r>
        <w:t xml:space="preserve">Sahih International, Pickthall and al-Hilali and Khan use</w:t>
      </w:r>
      <w:r>
        <w:t xml:space="preserve"> </w:t>
      </w:r>
      <w:r>
        <w:rPr>
          <w:iCs/>
          <w:i/>
        </w:rPr>
        <w:t xml:space="preserve">disbeliever</w:t>
      </w:r>
      <w:r>
        <w:t xml:space="preserve">. Arberry uses</w:t>
      </w:r>
      <w:r>
        <w:t xml:space="preserve"> </w:t>
      </w:r>
      <w:r>
        <w:rPr>
          <w:iCs/>
          <w:i/>
        </w:rPr>
        <w:t xml:space="preserve">unbeliever</w:t>
      </w:r>
      <w:r>
        <w:t xml:space="preserve"> </w:t>
      </w:r>
      <w:r>
        <w:t xml:space="preserve">throughout. Yusuf Ali varies between</w:t>
      </w:r>
      <w:r>
        <w:t xml:space="preserve"> </w:t>
      </w:r>
      <w:r>
        <w:rPr>
          <w:iCs/>
          <w:i/>
        </w:rPr>
        <w:t xml:space="preserve">Unbelievers</w:t>
      </w:r>
      <w:r>
        <w:t xml:space="preserve">,</w:t>
      </w:r>
      <w:r>
        <w:t xml:space="preserve"> </w:t>
      </w:r>
      <w:r>
        <w:rPr>
          <w:iCs/>
          <w:i/>
        </w:rPr>
        <w:t xml:space="preserve">Rejecters of Faith</w:t>
      </w:r>
      <w:r>
        <w:t xml:space="preserve"> </w:t>
      </w:r>
      <w:r>
        <w:t xml:space="preserve">(9:68),</w:t>
      </w:r>
      <w:r>
        <w:t xml:space="preserve"> </w:t>
      </w:r>
      <w:r>
        <w:rPr>
          <w:iCs/>
          <w:i/>
        </w:rPr>
        <w:t xml:space="preserve">Rejecters of Allah</w:t>
      </w:r>
      <w:r>
        <w:t xml:space="preserve"> </w:t>
      </w:r>
      <w:r>
        <w:t xml:space="preserve">(80:42) and</w:t>
      </w:r>
      <w:r>
        <w:t xml:space="preserve"> </w:t>
      </w:r>
      <w:r>
        <w:rPr>
          <w:iCs/>
          <w:i/>
        </w:rPr>
        <w:t xml:space="preserve">the Misbeliever</w:t>
      </w:r>
      <w:r>
        <w:t xml:space="preserve"> </w:t>
      </w:r>
      <w:r>
        <w:t xml:space="preserve">(25:55).</w:t>
      </w:r>
    </w:p>
    <w:p>
      <w:pPr>
        <w:pStyle w:val="BodyText"/>
      </w:pPr>
      <w:r>
        <w:rPr>
          <w:bCs/>
          <w:b/>
        </w:rPr>
        <w:t xml:space="preserve">Verbal reformulations.</w:t>
      </w:r>
      <w:r>
        <w:t xml:space="preserve"> </w:t>
      </w:r>
      <w:r>
        <w:t xml:space="preserve">These cluster in one formula: dying while being</w:t>
      </w:r>
      <w:r>
        <w:t xml:space="preserve"> </w:t>
      </w:r>
      <w:r>
        <w:rPr>
          <w:iCs/>
          <w:i/>
        </w:rPr>
        <w:t xml:space="preserve">kuffār</w:t>
      </w:r>
      <w:r>
        <w:t xml:space="preserve"> </w:t>
      </w:r>
      <w:r>
        <w:t xml:space="preserve">(2:161, 3:91, 4:18, 47:34; Arberry also 2:217). Where the gloss and Sahih International say</w:t>
      </w:r>
      <w:r>
        <w:t xml:space="preserve"> </w:t>
      </w:r>
      <w:r>
        <w:t xml:space="preserve">“</w:t>
      </w:r>
      <w:r>
        <w:t xml:space="preserve">die while they are disbelievers</w:t>
      </w:r>
      <w:r>
        <w:t xml:space="preserve">”</w:t>
      </w:r>
      <w:r>
        <w:t xml:space="preserve">, Yusuf Ali writes</w:t>
      </w:r>
      <w:r>
        <w:t xml:space="preserve"> </w:t>
      </w:r>
      <w:r>
        <w:t xml:space="preserve">“</w:t>
      </w:r>
      <w:r>
        <w:t xml:space="preserve">die rejecting (Faith)</w:t>
      </w:r>
      <w:r>
        <w:t xml:space="preserve">”</w:t>
      </w:r>
      <w:r>
        <w:t xml:space="preserve"> </w:t>
      </w:r>
      <w:r>
        <w:t xml:space="preserve">and Arberry</w:t>
      </w:r>
      <w:r>
        <w:t xml:space="preserve"> </w:t>
      </w:r>
      <w:r>
        <w:t xml:space="preserve">“</w:t>
      </w:r>
      <w:r>
        <w:t xml:space="preserve">die disbelieving</w:t>
      </w:r>
      <w:r>
        <w:t xml:space="preserve">”</w:t>
      </w:r>
      <w:r>
        <w:t xml:space="preserve">. Recasting the noun as a continuing act brings the English closer to the presupposition that classical definitions place in</w:t>
      </w:r>
      <w:r>
        <w:t xml:space="preserve"> </w:t>
      </w:r>
      <w:r>
        <w:rPr>
          <w:iCs/>
          <w:i/>
        </w:rPr>
        <w:t xml:space="preserve">kufr</w:t>
      </w:r>
      <w:r>
        <w:t xml:space="preserve">: al-Jurjānī defines it as the denial of what is necessarily known to belong to religion, which implies exposure to the message and persistent rejection, not merely the absence of belief.</w:t>
      </w:r>
    </w:p>
    <w:p>
      <w:pPr>
        <w:pStyle w:val="BodyText"/>
      </w:pPr>
      <w:r>
        <w:rPr>
          <w:bCs/>
          <w:b/>
        </w:rPr>
        <w:t xml:space="preserve">The agricultural verse (57:20).</w:t>
      </w:r>
      <w:r>
        <w:t xml:space="preserve"> </w:t>
      </w:r>
      <w:r>
        <w:t xml:space="preserve">Four of the five translations follow the gloss in reading</w:t>
      </w:r>
      <w:r>
        <w:t xml:space="preserve"> </w:t>
      </w:r>
      <w:r>
        <w:rPr>
          <w:iCs/>
          <w:i/>
        </w:rPr>
        <w:t xml:space="preserve">al-kuffār</w:t>
      </w:r>
      <w:r>
        <w:t xml:space="preserve"> </w:t>
      </w:r>
      <w:r>
        <w:t xml:space="preserve">as cultivators (</w:t>
      </w:r>
      <w:r>
        <w:rPr>
          <w:iCs/>
          <w:i/>
        </w:rPr>
        <w:t xml:space="preserve">tillers</w:t>
      </w:r>
      <w:r>
        <w:t xml:space="preserve">,</w:t>
      </w:r>
      <w:r>
        <w:t xml:space="preserve"> </w:t>
      </w:r>
      <w:r>
        <w:rPr>
          <w:iCs/>
          <w:i/>
        </w:rPr>
        <w:t xml:space="preserve">husbandman</w:t>
      </w:r>
      <w:r>
        <w:t xml:space="preserve">). Arberry keeps</w:t>
      </w:r>
      <w:r>
        <w:t xml:space="preserve"> </w:t>
      </w:r>
      <w:r>
        <w:rPr>
          <w:iCs/>
          <w:i/>
        </w:rPr>
        <w:t xml:space="preserve">unbelievers</w:t>
      </w:r>
      <w:r>
        <w:t xml:space="preserve">. The</w:t>
      </w:r>
      <w:r>
        <w:t xml:space="preserve"> </w:t>
      </w:r>
      <w:r>
        <w:t xml:space="preserve">“</w:t>
      </w:r>
      <w:r>
        <w:t xml:space="preserve">dynamic</w:t>
      </w:r>
      <w:r>
        <w:t xml:space="preserve">”</w:t>
      </w:r>
      <w:r>
        <w:t xml:space="preserve"> </w:t>
      </w:r>
      <w:r>
        <w:t xml:space="preserve">gloss</w:t>
      </w:r>
      <w:r>
        <w:t xml:space="preserve"> </w:t>
      </w:r>
      <w:r>
        <w:rPr>
          <w:iCs/>
          <w:i/>
        </w:rPr>
        <w:t xml:space="preserve">tillers</w:t>
      </w:r>
      <w:r>
        <w:t xml:space="preserve"> </w:t>
      </w:r>
      <w:r>
        <w:t xml:space="preserve">therefore follows an interpretive line most translators share, but not all.</w:t>
      </w:r>
    </w:p>
    <w:p>
      <w:pPr>
        <w:pStyle w:val="BodyText"/>
      </w:pPr>
      <w:r>
        <w:rPr>
          <w:bCs/>
          <w:b/>
        </w:rPr>
        <w:t xml:space="preserve">The participle extension.</w:t>
      </w:r>
      <w:r>
        <w:t xml:space="preserve"> </w:t>
      </w:r>
      <w:r>
        <w:t xml:space="preserve">The 131 participial tokens confirm the glossing norm: 128 are glossed</w:t>
      </w:r>
      <w:r>
        <w:t xml:space="preserve"> </w:t>
      </w:r>
      <w:r>
        <w:rPr>
          <w:iCs/>
          <w:i/>
        </w:rPr>
        <w:t xml:space="preserve">disbeliever(s)</w:t>
      </w:r>
      <w:r>
        <w:t xml:space="preserve">. The three variants again respond to the co-text:</w:t>
      </w:r>
    </w:p>
    <w:p>
      <w:pPr>
        <w:numPr>
          <w:ilvl w:val="0"/>
          <w:numId w:val="1015"/>
        </w:numPr>
        <w:pStyle w:val="Compact"/>
      </w:pPr>
      <w:r>
        <w:rPr>
          <w:iCs/>
          <w:i/>
        </w:rPr>
        <w:t xml:space="preserve">deniers</w:t>
      </w:r>
      <w:r>
        <w:t xml:space="preserve"> </w:t>
      </w:r>
      <w:r>
        <w:t xml:space="preserve">where the verse speaks of denial of worship or of the Day (2:254, 46:6);</w:t>
      </w:r>
    </w:p>
    <w:p>
      <w:pPr>
        <w:numPr>
          <w:ilvl w:val="0"/>
          <w:numId w:val="1015"/>
        </w:numPr>
        <w:pStyle w:val="Compact"/>
      </w:pPr>
      <w:r>
        <w:rPr>
          <w:iCs/>
          <w:i/>
        </w:rPr>
        <w:t xml:space="preserve">the ungrateful</w:t>
      </w:r>
      <w:r>
        <w:t xml:space="preserve"> </w:t>
      </w:r>
      <w:r>
        <w:t xml:space="preserve">in Pharaoh’s reproach (26:19).</w:t>
      </w:r>
    </w:p>
    <w:p>
      <w:pPr>
        <w:pStyle w:val="FirstParagraph"/>
      </w:pPr>
      <w:r>
        <w:t xml:space="preserve">Across all 158</w:t>
      </w:r>
      <w:r>
        <w:t xml:space="preserve"> </w:t>
      </w:r>
      <w:r>
        <w:rPr>
          <w:iCs/>
          <w:i/>
        </w:rPr>
        <w:t xml:space="preserve">kāfir</w:t>
      </w:r>
      <w:r>
        <w:t xml:space="preserve">-pattern nominal tokens, the default accounts for 154, or 97.5 per cent. The single most frequent English equivalent of the root’s nominal forms is therefore</w:t>
      </w:r>
      <w:r>
        <w:t xml:space="preserve"> </w:t>
      </w:r>
      <w:r>
        <w:rPr>
          <w:iCs/>
          <w:i/>
        </w:rPr>
        <w:t xml:space="preserve">disbeliever</w:t>
      </w:r>
      <w:r>
        <w:t xml:space="preserve">. It is a word that, in contemporary English, presupposes a private cognitive state and little else.</w:t>
      </w:r>
    </w:p>
    <w:p>
      <w:pPr>
        <w:pStyle w:val="BodyText"/>
      </w:pPr>
      <w:r>
        <w:t xml:space="preserve">That presupposition matters most where verses are historically bounded. The exegetical tradition locates 9:123 (</w:t>
      </w:r>
      <w:r>
        <w:t xml:space="preserve">“</w:t>
      </w:r>
      <w:r>
        <w:t xml:space="preserve">fight those adjacent to you of</w:t>
      </w:r>
      <w:r>
        <w:t xml:space="preserve"> </w:t>
      </w:r>
      <w:r>
        <w:rPr>
          <w:iCs/>
          <w:i/>
        </w:rPr>
        <w:t xml:space="preserve">al-kuffār</w:t>
      </w:r>
      <w:r>
        <w:t xml:space="preserve">”</w:t>
      </w:r>
      <w:r>
        <w:t xml:space="preserve">) in the final years of the Medinan period, addressing neighbouring groups who had broken agreements (al-Ṭabarī 2009). No rendering in the sample marks that boundedness: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Translation</w:t>
            </w:r>
          </w:p>
        </w:tc>
        <w:tc>
          <w:tcPr/>
          <w:p>
            <w:pPr>
              <w:pStyle w:val="Compact"/>
              <w:jc w:val="left"/>
            </w:pPr>
            <w:r>
              <w:t xml:space="preserve">9:123 rendering</w:t>
            </w:r>
          </w:p>
        </w:tc>
      </w:tr>
      <w:tr>
        <w:tc>
          <w:tcPr/>
          <w:p>
            <w:pPr>
              <w:pStyle w:val="Compact"/>
              <w:jc w:val="left"/>
            </w:pPr>
            <w:r>
              <w:t xml:space="preserve">QAC gloss / Sahih International</w:t>
            </w:r>
          </w:p>
        </w:tc>
        <w:tc>
          <w:tcPr/>
          <w:p>
            <w:pPr>
              <w:pStyle w:val="Compact"/>
              <w:jc w:val="left"/>
            </w:pPr>
            <w:r>
              <w:t xml:space="preserve">“</w:t>
            </w:r>
            <w:r>
              <w:t xml:space="preserve">the disbelievers</w:t>
            </w:r>
            <w:r>
              <w:t xml:space="preserve">”</w:t>
            </w:r>
          </w:p>
        </w:tc>
      </w:tr>
      <w:tr>
        <w:tc>
          <w:tcPr/>
          <w:p>
            <w:pPr>
              <w:pStyle w:val="Compact"/>
              <w:jc w:val="left"/>
            </w:pPr>
            <w:r>
              <w:t xml:space="preserve">Pickthall</w:t>
            </w:r>
          </w:p>
        </w:tc>
        <w:tc>
          <w:tcPr/>
          <w:p>
            <w:pPr>
              <w:pStyle w:val="Compact"/>
              <w:jc w:val="left"/>
            </w:pPr>
            <w:r>
              <w:t xml:space="preserve">“</w:t>
            </w:r>
            <w:r>
              <w:t xml:space="preserve">those of the disbelievers who are near to you</w:t>
            </w:r>
            <w:r>
              <w:t xml:space="preserve">”</w:t>
            </w:r>
          </w:p>
        </w:tc>
      </w:tr>
      <w:tr>
        <w:tc>
          <w:tcPr/>
          <w:p>
            <w:pPr>
              <w:pStyle w:val="Compact"/>
              <w:jc w:val="left"/>
            </w:pPr>
            <w:r>
              <w:t xml:space="preserve">Yusuf Ali</w:t>
            </w:r>
          </w:p>
        </w:tc>
        <w:tc>
          <w:tcPr/>
          <w:p>
            <w:pPr>
              <w:pStyle w:val="Compact"/>
              <w:jc w:val="left"/>
            </w:pPr>
            <w:r>
              <w:t xml:space="preserve">“</w:t>
            </w:r>
            <w:r>
              <w:t xml:space="preserve">the unbelievers who gird you about</w:t>
            </w:r>
            <w:r>
              <w:t xml:space="preserve">”</w:t>
            </w:r>
          </w:p>
        </w:tc>
      </w:tr>
      <w:tr>
        <w:tc>
          <w:tcPr/>
          <w:p>
            <w:pPr>
              <w:pStyle w:val="Compact"/>
              <w:jc w:val="left"/>
            </w:pPr>
            <w:r>
              <w:t xml:space="preserve">Arberry</w:t>
            </w:r>
          </w:p>
        </w:tc>
        <w:tc>
          <w:tcPr/>
          <w:p>
            <w:pPr>
              <w:pStyle w:val="Compact"/>
              <w:jc w:val="left"/>
            </w:pPr>
            <w:r>
              <w:t xml:space="preserve">“</w:t>
            </w:r>
            <w:r>
              <w:t xml:space="preserve">the unbelievers who are near to you</w:t>
            </w:r>
            <w:r>
              <w:t xml:space="preserve">”</w:t>
            </w:r>
          </w:p>
        </w:tc>
      </w:tr>
    </w:tbl>
    <w:p>
      <w:pPr>
        <w:pStyle w:val="BodyText"/>
      </w:pPr>
      <w:r>
        <w:t xml:space="preserve">In 60:11 the same gloss marks a legal provision on compensation, and in 83:34 an eschatological reversal. Whatever lexical family a translator chooses, the historical and juridical presuppositions are not carried by the noun. They can be supplied only by context or paratext.</w:t>
      </w:r>
    </w:p>
    <w:p>
      <w:pPr>
        <w:pStyle w:val="BodyText"/>
      </w:pPr>
      <w:r>
        <w:rPr>
          <w:bCs/>
          <w:b/>
        </w:rPr>
        <w:t xml:space="preserve">60:10–11: legal register.</w:t>
      </w:r>
      <w:r>
        <w:t xml:space="preserve"> </w:t>
      </w:r>
      <w:r>
        <w:t xml:space="preserve">These verses regulate the return of women who emigrate as believers and the compensation owed when a wife remains with</w:t>
      </w:r>
      <w:r>
        <w:t xml:space="preserve"> </w:t>
      </w:r>
      <w:r>
        <w:rPr>
          <w:iCs/>
          <w:i/>
        </w:rPr>
        <w:t xml:space="preserve">al-kuffār</w:t>
      </w:r>
      <w:r>
        <w:t xml:space="preserve"> </w:t>
      </w:r>
      <w:r>
        <w:t xml:space="preserve">after the treaty. The register is juridical and procedural. Rendering the group as</w:t>
      </w:r>
      <w:r>
        <w:t xml:space="preserve"> </w:t>
      </w:r>
      <w:r>
        <w:t xml:space="preserve">“</w:t>
      </w:r>
      <w:r>
        <w:t xml:space="preserve">the disbelievers</w:t>
      </w:r>
      <w:r>
        <w:t xml:space="preserve">”</w:t>
      </w:r>
      <w:r>
        <w:t xml:space="preserve">, exactly as in the battle instruction of 9:123, removes the difference between a legal provision about a treaty partner and a call to arms. In Baker’s terms, the propositional meaning is preserved and the presupposed register is lost.</w:t>
      </w:r>
    </w:p>
    <w:p>
      <w:pPr>
        <w:pStyle w:val="BodyText"/>
      </w:pPr>
      <w:r>
        <w:rPr>
          <w:bCs/>
          <w:b/>
        </w:rPr>
        <w:t xml:space="preserve">83:34: evoked meaning.</w:t>
      </w:r>
      <w:r>
        <w:t xml:space="preserve"> </w:t>
      </w:r>
      <w:r>
        <w:t xml:space="preserve">In</w:t>
      </w:r>
      <w:r>
        <w:t xml:space="preserve"> </w:t>
      </w:r>
      <w:r>
        <w:t xml:space="preserve">“</w:t>
      </w:r>
      <w:r>
        <w:t xml:space="preserve">so today those who believed are laughing at the disbelievers</w:t>
      </w:r>
      <w:r>
        <w:t xml:space="preserve">”</w:t>
      </w:r>
      <w:r>
        <w:t xml:space="preserve">, the scene reverses an earlier mockery described in the preceding verses (83:29–33), in which the believers were laughed at. For readers who know the history of the early Meccan community, the verse evokes persecution and its vindication. In a secular English register,</w:t>
      </w:r>
      <w:r>
        <w:t xml:space="preserve"> </w:t>
      </w:r>
      <w:r>
        <w:rPr>
          <w:iCs/>
          <w:i/>
        </w:rPr>
        <w:t xml:space="preserve">disbeliever</w:t>
      </w:r>
      <w:r>
        <w:t xml:space="preserve"> </w:t>
      </w:r>
      <w:r>
        <w:t xml:space="preserve">(or</w:t>
      </w:r>
      <w:r>
        <w:t xml:space="preserve"> </w:t>
      </w:r>
      <w:r>
        <w:rPr>
          <w:iCs/>
          <w:i/>
        </w:rPr>
        <w:t xml:space="preserve">unbeliever</w:t>
      </w:r>
      <w:r>
        <w:t xml:space="preserve">) evokes at most an epistemic disagreement. This is the dimension where the gap is widest, and it is also where no translator in the sample attempts any compensation.</w:t>
      </w:r>
    </w:p>
    <w:bookmarkEnd w:id="35"/>
    <w:bookmarkEnd w:id="36"/>
    <w:bookmarkStart w:id="37" w:name="discussion-where-narrowing-happens"/>
    <w:p>
      <w:pPr>
        <w:pStyle w:val="Heading1"/>
      </w:pPr>
      <w:r>
        <w:t xml:space="preserve">5. Discussion: where narrowing happens</w:t>
      </w:r>
    </w:p>
    <w:p>
      <w:pPr>
        <w:pStyle w:val="FirstParagraph"/>
      </w:pPr>
      <w:r>
        <w:t xml:space="preserve">The original version of this study concluded that the QAC</w:t>
      </w:r>
      <w:r>
        <w:t xml:space="preserve"> </w:t>
      </w:r>
      <w:r>
        <w:t xml:space="preserve">“</w:t>
      </w:r>
      <w:r>
        <w:t xml:space="preserve">favours formal equivalence</w:t>
      </w:r>
      <w:r>
        <w:t xml:space="preserve">”</w:t>
      </w:r>
      <w:r>
        <w:t xml:space="preserve"> </w:t>
      </w:r>
      <w:r>
        <w:t xml:space="preserve">in 95.6 per cent of cases and that this produces a translation that is</w:t>
      </w:r>
      <w:r>
        <w:t xml:space="preserve"> </w:t>
      </w:r>
      <w:r>
        <w:t xml:space="preserve">“</w:t>
      </w:r>
      <w:r>
        <w:t xml:space="preserve">lexically consistent but theologically thin</w:t>
      </w:r>
      <w:r>
        <w:t xml:space="preserve">”</w:t>
      </w:r>
      <w:r>
        <w:t xml:space="preserve">. The extended evidence supports a more precise account. Narrowing occurs in three different places, each with a different cause.</w:t>
      </w:r>
    </w:p>
    <w:p>
      <w:pPr>
        <w:pStyle w:val="BodyText"/>
      </w:pPr>
      <w:r>
        <w:rPr>
          <w:bCs/>
          <w:b/>
        </w:rPr>
        <w:t xml:space="preserve">Narrowing as a design norm.</w:t>
      </w:r>
      <w:r>
        <w:t xml:space="preserve"> </w:t>
      </w:r>
      <w:r>
        <w:t xml:space="preserve">The first locus is the gloss layer itself. Its near-uniform default reflects the documentary purpose of interlinear glossing: a learner who meets</w:t>
      </w:r>
      <w:r>
        <w:t xml:space="preserve"> </w:t>
      </w:r>
      <w:r>
        <w:rPr>
          <w:iCs/>
          <w:i/>
        </w:rPr>
        <w:t xml:space="preserve">raḥmat</w:t>
      </w:r>
      <w:r>
        <w:t xml:space="preserve"> </w:t>
      </w:r>
      <w:r>
        <w:t xml:space="preserve">anywhere in the text should be able to recognise it, and a single English correspondent serves that purpose. The norm allows variation only for local incompatibility or collocational blocking, not for doctrinal or historical context (Section 4.1). The norm is reasonable on its own terms. Narrowing arises when users do not treat the gloss as a gloss: readers using it as a dictionary of equivalents, applications reusing it, and researchers coding it as</w:t>
      </w:r>
      <w:r>
        <w:t xml:space="preserve"> </w:t>
      </w:r>
      <w:r>
        <w:t xml:space="preserve">“</w:t>
      </w:r>
      <w:r>
        <w:t xml:space="preserve">the translation</w:t>
      </w:r>
      <w:r>
        <w:t xml:space="preserve">”</w:t>
      </w:r>
      <w:r>
        <w:t xml:space="preserve"> </w:t>
      </w:r>
      <w:r>
        <w:t xml:space="preserve">of the Qur’an. The QAC’s own documentation warns against this. Corpus-based studies, including the earlier version of this one, should take the warning into their design by distinguishing the gloss from translations and by not quoting one layer while coding another.</w:t>
      </w:r>
    </w:p>
    <w:p>
      <w:pPr>
        <w:pStyle w:val="BodyText"/>
      </w:pPr>
      <w:r>
        <w:rPr>
          <w:bCs/>
          <w:b/>
        </w:rPr>
        <w:t xml:space="preserve">Narrowing as the absence of a stable English equivalent.</w:t>
      </w:r>
      <w:r>
        <w:t xml:space="preserve"> </w:t>
      </w:r>
      <w:r>
        <w:t xml:space="preserve">The second locus is shared by all the translations and shows most clearly in</w:t>
      </w:r>
      <w:r>
        <w:t xml:space="preserve"> </w:t>
      </w:r>
      <w:r>
        <w:rPr>
          <w:iCs/>
          <w:i/>
        </w:rPr>
        <w:t xml:space="preserve">taqwā</w:t>
      </w:r>
      <w:r>
        <w:t xml:space="preserve">. Where English has a conventional equivalent that translators accept (</w:t>
      </w:r>
      <w:r>
        <w:rPr>
          <w:iCs/>
          <w:i/>
        </w:rPr>
        <w:t xml:space="preserve">mercy</w:t>
      </w:r>
      <w:r>
        <w:t xml:space="preserve">,</w:t>
      </w:r>
      <w:r>
        <w:t xml:space="preserve"> </w:t>
      </w:r>
      <w:r>
        <w:rPr>
          <w:iCs/>
          <w:i/>
        </w:rPr>
        <w:t xml:space="preserve">disbeliever</w:t>
      </w:r>
      <w:r>
        <w:t xml:space="preserve">), the gloss and the translations converge, and the narrowing is collective. Where English has none, each translator anchors the term in a different component of its meaning: ethical, affective, devotional, protective or retentive (Table 2). Izutsu’s account of</w:t>
      </w:r>
      <w:r>
        <w:t xml:space="preserve"> </w:t>
      </w:r>
      <w:r>
        <w:rPr>
          <w:iCs/>
          <w:i/>
        </w:rPr>
        <w:t xml:space="preserve">taqwā</w:t>
      </w:r>
      <w:r>
        <w:t xml:space="preserve"> </w:t>
      </w:r>
      <w:r>
        <w:t xml:space="preserve">as a relational attitude that combines these components explains why no single English word can hold them together. In Toury’s terms, the absence of a stable target-language solution is visible as variation between translators. The gloss layer hides that variation by choosing one of the candidates.</w:t>
      </w:r>
    </w:p>
    <w:p>
      <w:pPr>
        <w:pStyle w:val="BodyText"/>
      </w:pPr>
      <w:r>
        <w:rPr>
          <w:bCs/>
          <w:b/>
        </w:rPr>
        <w:t xml:space="preserve">Narrowing beyond the lexical level.</w:t>
      </w:r>
      <w:r>
        <w:t xml:space="preserve"> </w:t>
      </w:r>
      <w:r>
        <w:t xml:space="preserve">The third locus is meaning that no lexical choice can carry. The identification of</w:t>
      </w:r>
      <w:r>
        <w:t xml:space="preserve"> </w:t>
      </w:r>
      <w:r>
        <w:rPr>
          <w:iCs/>
          <w:i/>
        </w:rPr>
        <w:t xml:space="preserve">kalimat al-taqwā</w:t>
      </w:r>
      <w:r>
        <w:t xml:space="preserve"> </w:t>
      </w:r>
      <w:r>
        <w:t xml:space="preserve">with the creed in 48:26, prophethood as</w:t>
      </w:r>
      <w:r>
        <w:t xml:space="preserve"> </w:t>
      </w:r>
      <w:r>
        <w:rPr>
          <w:iCs/>
          <w:i/>
        </w:rPr>
        <w:t xml:space="preserve">raḥmat</w:t>
      </w:r>
      <w:r>
        <w:t xml:space="preserve"> </w:t>
      </w:r>
      <w:r>
        <w:t xml:space="preserve">in 11:63, and the historically bounded</w:t>
      </w:r>
      <w:r>
        <w:t xml:space="preserve"> </w:t>
      </w:r>
      <w:r>
        <w:rPr>
          <w:iCs/>
          <w:i/>
        </w:rPr>
        <w:t xml:space="preserve">kuffār</w:t>
      </w:r>
      <w:r>
        <w:t xml:space="preserve"> </w:t>
      </w:r>
      <w:r>
        <w:t xml:space="preserve">of 9:123 are presupposed meanings in Baker’s sense. They rest on exegetical and historical knowledge shared by the source audience, not on the semantics of the word. Recasting the noun as an act (Yusuf Ali, Arberry) or switching to</w:t>
      </w:r>
      <w:r>
        <w:t xml:space="preserve"> </w:t>
      </w:r>
      <w:r>
        <w:rPr>
          <w:iCs/>
          <w:i/>
        </w:rPr>
        <w:t xml:space="preserve">grace</w:t>
      </w:r>
      <w:r>
        <w:t xml:space="preserve"> </w:t>
      </w:r>
      <w:r>
        <w:t xml:space="preserve">(Yusuf Ali) narrows some gaps but opens others, such as Christian evoked associations. The only strategies in the sample that actually supply presupposed content are paratextual: al-Hilali and Khan’s bracketed explanations and the retention of the Arabic term with a gloss. Baker (2018) lists the loan word plus explanation among the standard strategies for non-equivalence. Venuti’s (2018) case for foreignising strategies adds an ethical argument for keeping the term visible rather than domesticating it.</w:t>
      </w:r>
    </w:p>
    <w:p>
      <w:pPr>
        <w:pStyle w:val="BodyText"/>
      </w:pPr>
      <w:r>
        <w:t xml:space="preserve">These findings answer the editor’s earlier challenge to go beyond formal versus dynamic equivalence. Counting formal renderings shows how standardised a text is, but not why or where meaning is lost. Read through documentary translation, norms and Qur’anic semantic fields, the same corpus shows three separate mechanisms: a genre norm, a shared lack of equivalents, and a paratextual gap. Each calls for a different remedy. The findings also extend recent work:</w:t>
      </w:r>
    </w:p>
    <w:p>
      <w:pPr>
        <w:numPr>
          <w:ilvl w:val="0"/>
          <w:numId w:val="1016"/>
        </w:numPr>
        <w:pStyle w:val="Compact"/>
      </w:pPr>
      <w:r>
        <w:t xml:space="preserve">Unlike studies built on selected examples (Al-Awd 2024; Albahiri and Alhaj 2024; Abdelkarim and Alhaj 2023), this study reports full lemma distributions with token-level traceability.</w:t>
      </w:r>
    </w:p>
    <w:p>
      <w:pPr>
        <w:numPr>
          <w:ilvl w:val="0"/>
          <w:numId w:val="1016"/>
        </w:numPr>
        <w:pStyle w:val="Compact"/>
      </w:pPr>
      <w:r>
        <w:t xml:space="preserve">Unlike single-</w:t>
      </w:r>
      <w:r>
        <w:rPr>
          <w:iCs/>
          <w:i/>
        </w:rPr>
        <w:t xml:space="preserve">sūrah</w:t>
      </w:r>
      <w:r>
        <w:t xml:space="preserve"> </w:t>
      </w:r>
      <w:r>
        <w:t xml:space="preserve">studies (Alhamshary 2025), it shows that the default glossing of</w:t>
      </w:r>
      <w:r>
        <w:t xml:space="preserve"> </w:t>
      </w:r>
      <w:r>
        <w:rPr>
          <w:iCs/>
          <w:i/>
        </w:rPr>
        <w:t xml:space="preserve">raḥmat</w:t>
      </w:r>
      <w:r>
        <w:t xml:space="preserve"> </w:t>
      </w:r>
      <w:r>
        <w:t xml:space="preserve">in Hūd and Yūnus recurs in every</w:t>
      </w:r>
      <w:r>
        <w:t xml:space="preserve"> </w:t>
      </w:r>
      <w:r>
        <w:rPr>
          <w:iCs/>
          <w:i/>
        </w:rPr>
        <w:t xml:space="preserve">sūrah</w:t>
      </w:r>
      <w:r>
        <w:t xml:space="preserve"> </w:t>
      </w:r>
      <w:r>
        <w:t xml:space="preserve">where the lemma occurs.</w:t>
      </w:r>
    </w:p>
    <w:p>
      <w:pPr>
        <w:numPr>
          <w:ilvl w:val="0"/>
          <w:numId w:val="1016"/>
        </w:numPr>
        <w:pStyle w:val="Compact"/>
      </w:pPr>
      <w:r>
        <w:t xml:space="preserve">The flattening that Shehab (2026) observes in machine output resembles the default-gloss norm described here. Systems trained on or retrieving from glossed resources may reproduce that norm at scale. This is a hypothesis for future research, not a finding of this study.</w:t>
      </w:r>
    </w:p>
    <w:p>
      <w:pPr>
        <w:pStyle w:val="FirstParagraph"/>
      </w:pPr>
      <w:r>
        <w:t xml:space="preserve">The findings also have a methodological consequence for corpus-based research on Qur’an translation. Annotated Qur’anic resources are attractive because they make exhaustive retrieval easy. The ease of retrieval can hide the fact that the English displayed beside a token may come from different documents with different purposes. Three safeguards follow from this study:</w:t>
      </w:r>
    </w:p>
    <w:p>
      <w:pPr>
        <w:numPr>
          <w:ilvl w:val="0"/>
          <w:numId w:val="1017"/>
        </w:numPr>
        <w:pStyle w:val="Compact"/>
      </w:pPr>
      <w:r>
        <w:rPr>
          <w:bCs/>
          <w:b/>
        </w:rPr>
        <w:t xml:space="preserve">Name the layer.</w:t>
      </w:r>
      <w:r>
        <w:t xml:space="preserve"> </w:t>
      </w:r>
      <w:r>
        <w:t xml:space="preserve">State which layer supplies the English data (gloss, a specific translation, or several), and quote only from that layer.</w:t>
      </w:r>
    </w:p>
    <w:p>
      <w:pPr>
        <w:numPr>
          <w:ilvl w:val="0"/>
          <w:numId w:val="1017"/>
        </w:numPr>
        <w:pStyle w:val="Compact"/>
      </w:pPr>
      <w:r>
        <w:rPr>
          <w:bCs/>
          <w:b/>
        </w:rPr>
        <w:t xml:space="preserve">Retrieve by lemma and state the scope.</w:t>
      </w:r>
      <w:r>
        <w:t xml:space="preserve"> </w:t>
      </w:r>
      <w:r>
        <w:t xml:space="preserve">Retrieve by lemma rather than root, and report which morphological forms are included. Here the noun</w:t>
      </w:r>
      <w:r>
        <w:t xml:space="preserve"> </w:t>
      </w:r>
      <w:r>
        <w:rPr>
          <w:iCs/>
          <w:i/>
        </w:rPr>
        <w:t xml:space="preserve">kāfir</w:t>
      </w:r>
      <w:r>
        <w:t xml:space="preserve"> </w:t>
      </w:r>
      <w:r>
        <w:t xml:space="preserve">covers fewer than a fifth of the</w:t>
      </w:r>
      <w:r>
        <w:t xml:space="preserve"> </w:t>
      </w:r>
      <w:r>
        <w:rPr>
          <w:iCs/>
          <w:i/>
        </w:rPr>
        <w:t xml:space="preserve">kāfir</w:t>
      </w:r>
      <w:r>
        <w:t xml:space="preserve">-pattern tokens.</w:t>
      </w:r>
    </w:p>
    <w:p>
      <w:pPr>
        <w:numPr>
          <w:ilvl w:val="0"/>
          <w:numId w:val="1017"/>
        </w:numPr>
        <w:pStyle w:val="Compact"/>
      </w:pPr>
      <w:r>
        <w:rPr>
          <w:bCs/>
          <w:b/>
        </w:rPr>
        <w:t xml:space="preserve">Publish the coding.</w:t>
      </w:r>
      <w:r>
        <w:t xml:space="preserve"> </w:t>
      </w:r>
      <w:r>
        <w:t xml:space="preserve">Release token-level coding with stable identifiers, so that counts, categories and verse references can be checked and re-coded by others.</w:t>
      </w:r>
    </w:p>
    <w:p>
      <w:pPr>
        <w:pStyle w:val="FirstParagraph"/>
      </w:pPr>
      <w:r>
        <w:t xml:space="preserve">The earlier version of this research did not meet all three. Its counts were correct, but several verse labels and one quoted sentence did not match the corpus, an error that token identifiers would have exposed at once.</w:t>
      </w:r>
    </w:p>
    <w:bookmarkEnd w:id="37"/>
    <w:bookmarkStart w:id="38" w:name="X748bda44d3d46540a3b611aba7991b984fb6127"/>
    <w:p>
      <w:pPr>
        <w:pStyle w:val="Heading1"/>
      </w:pPr>
      <w:r>
        <w:t xml:space="preserve">6. Implications for glossing and translation practice</w:t>
      </w:r>
    </w:p>
    <w:p>
      <w:pPr>
        <w:pStyle w:val="FirstParagraph"/>
      </w:pPr>
      <w:r>
        <w:t xml:space="preserve">Three practical proposals follow.</w:t>
      </w:r>
    </w:p>
    <w:p>
      <w:pPr>
        <w:pStyle w:val="BodyText"/>
      </w:pPr>
      <w:r>
        <w:rPr>
          <w:bCs/>
          <w:b/>
        </w:rPr>
        <w:t xml:space="preserve">Layered glossing.</w:t>
      </w:r>
      <w:r>
        <w:t xml:space="preserve"> </w:t>
      </w:r>
      <w:r>
        <w:t xml:space="preserve">Interlinear resources could keep a stable default gloss for traceability and add a second, optional sense layer marking contextually distinct uses. Examples are</w:t>
      </w:r>
      <w:r>
        <w:t xml:space="preserve"> </w:t>
      </w:r>
      <w:r>
        <w:rPr>
          <w:iCs/>
          <w:i/>
        </w:rPr>
        <w:t xml:space="preserve">raḥmat</w:t>
      </w:r>
      <w:r>
        <w:t xml:space="preserve"> </w:t>
      </w:r>
      <w:r>
        <w:t xml:space="preserve">as revelation (10:57), as prophethood (11:63) and as rain (7:57), or</w:t>
      </w:r>
      <w:r>
        <w:t xml:space="preserve"> </w:t>
      </w:r>
      <w:r>
        <w:rPr>
          <w:iCs/>
          <w:i/>
        </w:rPr>
        <w:t xml:space="preserve">kāfir</w:t>
      </w:r>
      <w:r>
        <w:t xml:space="preserve"> </w:t>
      </w:r>
      <w:r>
        <w:t xml:space="preserve">as ingrate (26:19) and as cultivator (57:20), each linked to sources. This keeps the documentary function while making the gloss’s limits visible.</w:t>
      </w:r>
    </w:p>
    <w:p>
      <w:pPr>
        <w:pStyle w:val="BodyText"/>
      </w:pPr>
      <w:r>
        <w:rPr>
          <w:bCs/>
          <w:b/>
        </w:rPr>
        <w:t xml:space="preserve">Consistency where the co-text is identical.</w:t>
      </w:r>
      <w:r>
        <w:t xml:space="preserve"> </w:t>
      </w:r>
      <w:r>
        <w:t xml:space="preserve">Identical constructions, such as</w:t>
      </w:r>
      <w:r>
        <w:t xml:space="preserve"> </w:t>
      </w:r>
      <w:r>
        <w:rPr>
          <w:iCs/>
          <w:i/>
        </w:rPr>
        <w:t xml:space="preserve">aqrabu li-l-taqwā</w:t>
      </w:r>
      <w:r>
        <w:t xml:space="preserve"> </w:t>
      </w:r>
      <w:r>
        <w:t xml:space="preserve">at 2:237 and 5:8, should receive identical glosses, or the difference should be motivated and documented.</w:t>
      </w:r>
    </w:p>
    <w:p>
      <w:pPr>
        <w:pStyle w:val="BodyText"/>
      </w:pPr>
      <w:r>
        <w:rPr>
          <w:bCs/>
          <w:b/>
        </w:rPr>
        <w:t xml:space="preserve">Selective retention and annotation in full translations.</w:t>
      </w:r>
      <w:r>
        <w:t xml:space="preserve"> </w:t>
      </w:r>
      <w:r>
        <w:t xml:space="preserve">For</w:t>
      </w:r>
      <w:r>
        <w:t xml:space="preserve"> </w:t>
      </w:r>
      <w:r>
        <w:rPr>
          <w:iCs/>
          <w:i/>
        </w:rPr>
        <w:t xml:space="preserve">taqwā</w:t>
      </w:r>
      <w:r>
        <w:t xml:space="preserve">, which has no stable English equivalent, retention with a short gloss (</w:t>
      </w:r>
      <w:r>
        <w:rPr>
          <w:iCs/>
          <w:i/>
        </w:rPr>
        <w:t xml:space="preserve">taqwā</w:t>
      </w:r>
      <w:r>
        <w:t xml:space="preserve">, God-conscious self-guarding) at first occurrence, or in verses where the term carries doctrinal weight, is more transparent than distributing it across five unrelated English words. Some Indonesian practice already does this: the Ministry of Religious Affairs translation (Kementerian Agama RI 2019) keeps</w:t>
      </w:r>
      <w:r>
        <w:t xml:space="preserve"> </w:t>
      </w:r>
      <w:r>
        <w:rPr>
          <w:iCs/>
          <w:i/>
        </w:rPr>
        <w:t xml:space="preserve">bertakwa</w:t>
      </w:r>
      <w:r>
        <w:t xml:space="preserve">. For</w:t>
      </w:r>
      <w:r>
        <w:t xml:space="preserve"> </w:t>
      </w:r>
      <w:r>
        <w:rPr>
          <w:iCs/>
          <w:i/>
        </w:rPr>
        <w:t xml:space="preserve">kāfir</w:t>
      </w:r>
      <w:r>
        <w:t xml:space="preserve"> </w:t>
      </w:r>
      <w:r>
        <w:t xml:space="preserve">in historically bounded verses (9:123, 60:10–11), a note locating the verse in its context gives readers information that no single noun can. None of these strategies is costless. Retention can alienate readers unfamiliar with transliteration, annotation depends on readers consulting it, and explicitation commits the translator to one reading. These costs fall where readers can see them rather than inside a single English word.</w:t>
      </w:r>
    </w:p>
    <w:bookmarkEnd w:id="38"/>
    <w:bookmarkStart w:id="39" w:name="conclusion"/>
    <w:p>
      <w:pPr>
        <w:pStyle w:val="Heading1"/>
      </w:pPr>
      <w:r>
        <w:t xml:space="preserve">7. Conclusion</w:t>
      </w:r>
    </w:p>
    <w:p>
      <w:pPr>
        <w:pStyle w:val="FirstParagraph"/>
      </w:pPr>
      <w:r>
        <w:t xml:space="preserve">This article has re-examined 158 tokens of</w:t>
      </w:r>
      <w:r>
        <w:t xml:space="preserve"> </w:t>
      </w:r>
      <w:r>
        <w:rPr>
          <w:iCs/>
          <w:i/>
        </w:rPr>
        <w:t xml:space="preserve">taqwā</w:t>
      </w:r>
      <w:r>
        <w:t xml:space="preserve">,</w:t>
      </w:r>
      <w:r>
        <w:t xml:space="preserve"> </w:t>
      </w:r>
      <w:r>
        <w:rPr>
          <w:iCs/>
          <w:i/>
        </w:rPr>
        <w:t xml:space="preserve">raḥmat</w:t>
      </w:r>
      <w:r>
        <w:t xml:space="preserve"> </w:t>
      </w:r>
      <w:r>
        <w:t xml:space="preserve">and</w:t>
      </w:r>
      <w:r>
        <w:t xml:space="preserve"> </w:t>
      </w:r>
      <w:r>
        <w:rPr>
          <w:iCs/>
          <w:i/>
        </w:rPr>
        <w:t xml:space="preserve">kāfir</w:t>
      </w:r>
      <w:r>
        <w:t xml:space="preserve"> </w:t>
      </w:r>
      <w:r>
        <w:t xml:space="preserve">in the Quranic Arabic Corpus, distinguishing the interlinear gloss from five sentence-level translations displayed alongside it, and extending the</w:t>
      </w:r>
      <w:r>
        <w:t xml:space="preserve"> </w:t>
      </w:r>
      <w:r>
        <w:rPr>
          <w:iCs/>
          <w:i/>
        </w:rPr>
        <w:t xml:space="preserve">kāfir</w:t>
      </w:r>
      <w:r>
        <w:t xml:space="preserve"> </w:t>
      </w:r>
      <w:r>
        <w:t xml:space="preserve">analysis to the 131 participial tokens of the same pattern. The gloss follows a documentary norm: one default English lexeme per lemma, with variants only where the co-text blocks the default (95.6 per cent default for the three lemmas, 97.5 per cent for the extended</w:t>
      </w:r>
      <w:r>
        <w:t xml:space="preserve"> </w:t>
      </w:r>
      <w:r>
        <w:rPr>
          <w:iCs/>
          <w:i/>
        </w:rPr>
        <w:t xml:space="preserve">kāfir</w:t>
      </w:r>
      <w:r>
        <w:t xml:space="preserve">-pattern). Full translations share this default for</w:t>
      </w:r>
      <w:r>
        <w:t xml:space="preserve"> </w:t>
      </w:r>
      <w:r>
        <w:rPr>
          <w:iCs/>
          <w:i/>
        </w:rPr>
        <w:t xml:space="preserve">raḥmat</w:t>
      </w:r>
      <w:r>
        <w:t xml:space="preserve"> </w:t>
      </w:r>
      <w:r>
        <w:t xml:space="preserve">and</w:t>
      </w:r>
      <w:r>
        <w:t xml:space="preserve"> </w:t>
      </w:r>
      <w:r>
        <w:rPr>
          <w:iCs/>
          <w:i/>
        </w:rPr>
        <w:t xml:space="preserve">kāfir</w:t>
      </w:r>
      <w:r>
        <w:t xml:space="preserve"> </w:t>
      </w:r>
      <w:r>
        <w:t xml:space="preserve">but split</w:t>
      </w:r>
      <w:r>
        <w:t xml:space="preserve"> </w:t>
      </w:r>
      <w:r>
        <w:rPr>
          <w:iCs/>
          <w:i/>
        </w:rPr>
        <w:t xml:space="preserve">taqwā</w:t>
      </w:r>
      <w:r>
        <w:t xml:space="preserve"> </w:t>
      </w:r>
      <w:r>
        <w:t xml:space="preserve">into five different semantic anchors. The meanings most often said to be lost, such as the creedal</w:t>
      </w:r>
      <w:r>
        <w:t xml:space="preserve"> </w:t>
      </w:r>
      <w:r>
        <w:rPr>
          <w:iCs/>
          <w:i/>
        </w:rPr>
        <w:t xml:space="preserve">kalimat al-taqwā</w:t>
      </w:r>
      <w:r>
        <w:t xml:space="preserve">,</w:t>
      </w:r>
      <w:r>
        <w:t xml:space="preserve"> </w:t>
      </w:r>
      <w:r>
        <w:rPr>
          <w:iCs/>
          <w:i/>
        </w:rPr>
        <w:t xml:space="preserve">raḥmat</w:t>
      </w:r>
      <w:r>
        <w:t xml:space="preserve"> </w:t>
      </w:r>
      <w:r>
        <w:t xml:space="preserve">as revelation or prophethood, and the historically bounded</w:t>
      </w:r>
      <w:r>
        <w:t xml:space="preserve"> </w:t>
      </w:r>
      <w:r>
        <w:rPr>
          <w:iCs/>
          <w:i/>
        </w:rPr>
        <w:t xml:space="preserve">kuffār</w:t>
      </w:r>
      <w:r>
        <w:t xml:space="preserve"> </w:t>
      </w:r>
      <w:r>
        <w:t xml:space="preserve">of 9:123, are presupposed meanings that only context and paratext can restore.</w:t>
      </w:r>
    </w:p>
    <w:p>
      <w:pPr>
        <w:pStyle w:val="BodyText"/>
      </w:pPr>
      <w:r>
        <w:t xml:space="preserve">The findings should be read within clear limits:</w:t>
      </w:r>
    </w:p>
    <w:p>
      <w:pPr>
        <w:numPr>
          <w:ilvl w:val="0"/>
          <w:numId w:val="1018"/>
        </w:numPr>
        <w:pStyle w:val="Compact"/>
      </w:pPr>
      <w:r>
        <w:rPr>
          <w:bCs/>
          <w:b/>
        </w:rPr>
        <w:t xml:space="preserve">Scope.</w:t>
      </w:r>
      <w:r>
        <w:t xml:space="preserve"> </w:t>
      </w:r>
      <w:r>
        <w:t xml:space="preserve">Three lemmas only, five translations only (those displayed on the QAC), and a single coder. The</w:t>
      </w:r>
      <w:r>
        <w:t xml:space="preserve"> </w:t>
      </w:r>
      <w:r>
        <w:rPr>
          <w:iCs/>
          <w:i/>
        </w:rPr>
        <w:t xml:space="preserve">raḥmat</w:t>
      </w:r>
      <w:r>
        <w:t xml:space="preserve"> </w:t>
      </w:r>
      <w:r>
        <w:t xml:space="preserve">comparison relied on verse-level screening checked manually, so a rendering elsewhere in the same verse could in principle have been counted.</w:t>
      </w:r>
    </w:p>
    <w:p>
      <w:pPr>
        <w:numPr>
          <w:ilvl w:val="0"/>
          <w:numId w:val="1018"/>
        </w:numPr>
        <w:pStyle w:val="Compact"/>
      </w:pPr>
      <w:r>
        <w:rPr>
          <w:bCs/>
          <w:b/>
        </w:rPr>
        <w:t xml:space="preserve">Exegesis.</w:t>
      </w:r>
      <w:r>
        <w:t xml:space="preserve"> </w:t>
      </w:r>
      <w:r>
        <w:t xml:space="preserve">The readings are selective and attributed to named works rather than presented as definitive.</w:t>
      </w:r>
    </w:p>
    <w:p>
      <w:pPr>
        <w:numPr>
          <w:ilvl w:val="0"/>
          <w:numId w:val="1018"/>
        </w:numPr>
        <w:pStyle w:val="Compact"/>
      </w:pPr>
      <w:r>
        <w:rPr>
          <w:bCs/>
          <w:b/>
        </w:rPr>
        <w:t xml:space="preserve">Reception.</w:t>
      </w:r>
      <w:r>
        <w:t xml:space="preserve"> </w:t>
      </w:r>
      <w:r>
        <w:t xml:space="preserve">The study does not test how actual readers interpret these renderings. Reader-response research on verses such as 9:123 would be needed to show whether the risks identified here occur in practice.</w:t>
      </w:r>
    </w:p>
    <w:p>
      <w:pPr>
        <w:pStyle w:val="FirstParagraph"/>
      </w:pPr>
      <w:r>
        <w:t xml:space="preserve">Within these limits, the study’s methodological point is general: corpus-based research on sacred-text translation should identify which layer of a resource supplies its English equivalents before drawing conclusions about loss.</w:t>
      </w:r>
    </w:p>
    <w:bookmarkEnd w:id="39"/>
    <w:bookmarkStart w:id="40" w:name="notes"/>
    <w:p>
      <w:pPr>
        <w:pStyle w:val="Heading1"/>
      </w:pPr>
      <w:r>
        <w:t xml:space="preserve">Notes</w:t>
      </w:r>
    </w:p>
    <w:p>
      <w:pPr>
        <w:pStyle w:val="FirstParagraph"/>
      </w:pPr>
      <w:r>
        <w:t xml:space="preserve">Transliteration follows standard scholarly conventions: macrons for long vowels, subscript dots for emphatic consonants, and ʿ and ʾ for</w:t>
      </w:r>
      <w:r>
        <w:t xml:space="preserve"> </w:t>
      </w:r>
      <w:r>
        <w:rPr>
          <w:iCs/>
          <w:i/>
        </w:rPr>
        <w:t xml:space="preserve">ʿayn</w:t>
      </w:r>
      <w:r>
        <w:t xml:space="preserve"> </w:t>
      </w:r>
      <w:r>
        <w:t xml:space="preserve">and</w:t>
      </w:r>
      <w:r>
        <w:t xml:space="preserve"> </w:t>
      </w:r>
      <w:r>
        <w:rPr>
          <w:iCs/>
          <w:i/>
        </w:rPr>
        <w:t xml:space="preserve">hamza</w:t>
      </w:r>
      <w:r>
        <w:t xml:space="preserve">. Qur’anic references are given as</w:t>
      </w:r>
      <w:r>
        <w:t xml:space="preserve"> </w:t>
      </w:r>
      <w:r>
        <w:rPr>
          <w:iCs/>
          <w:i/>
        </w:rPr>
        <w:t xml:space="preserve">sūrah</w:t>
      </w:r>
      <w:r>
        <w:t xml:space="preserve">:verse, and token identifiers as</w:t>
      </w:r>
      <w:r>
        <w:t xml:space="preserve"> </w:t>
      </w:r>
      <w:r>
        <w:rPr>
          <w:iCs/>
          <w:i/>
        </w:rPr>
        <w:t xml:space="preserve">sūrah</w:t>
      </w:r>
      <w:r>
        <w:t xml:space="preserve">:verse:word following the QAC.</w:t>
      </w:r>
    </w:p>
    <w:bookmarkEnd w:id="40"/>
    <w:bookmarkStart w:id="41" w:name="data-availability"/>
    <w:p>
      <w:pPr>
        <w:pStyle w:val="Heading1"/>
      </w:pPr>
      <w:r>
        <w:t xml:space="preserve">Data availability</w:t>
      </w:r>
    </w:p>
    <w:p>
      <w:pPr>
        <w:pStyle w:val="FirstParagraph"/>
      </w:pPr>
      <w:r>
        <w:t xml:space="preserve">The supplementary files contain:</w:t>
      </w:r>
    </w:p>
    <w:p>
      <w:pPr>
        <w:numPr>
          <w:ilvl w:val="0"/>
          <w:numId w:val="1019"/>
        </w:numPr>
        <w:pStyle w:val="Compact"/>
      </w:pPr>
      <w:r>
        <w:t xml:space="preserve">the token-level coding table for all 158 tokens: QAC location, transliteration, gloss, original and revised codes, and the rendering and lexical family in five translations;</w:t>
      </w:r>
    </w:p>
    <w:p>
      <w:pPr>
        <w:numPr>
          <w:ilvl w:val="0"/>
          <w:numId w:val="1019"/>
        </w:numPr>
        <w:pStyle w:val="Compact"/>
      </w:pPr>
      <w:r>
        <w:t xml:space="preserve">the 131 participial</w:t>
      </w:r>
      <w:r>
        <w:t xml:space="preserve"> </w:t>
      </w:r>
      <w:r>
        <w:rPr>
          <w:iCs/>
          <w:i/>
        </w:rPr>
        <w:t xml:space="preserve">kāfir</w:t>
      </w:r>
      <w:r>
        <w:t xml:space="preserve">-pattern tokens;</w:t>
      </w:r>
    </w:p>
    <w:p>
      <w:pPr>
        <w:numPr>
          <w:ilvl w:val="0"/>
          <w:numId w:val="1019"/>
        </w:numPr>
        <w:pStyle w:val="Compact"/>
      </w:pPr>
      <w:r>
        <w:t xml:space="preserve">the summary counts.</w:t>
      </w:r>
    </w:p>
    <w:p>
      <w:pPr>
        <w:pStyle w:val="FirstParagraph"/>
      </w:pPr>
      <w:r>
        <w:t xml:space="preserve">QAC data are used for non-commercial research with attribution, under the corpus’s stated terms (https://corpus.quran.com). Translation renderings are limited to the words translating the target term.</w:t>
      </w:r>
    </w:p>
    <w:bookmarkEnd w:id="41"/>
    <w:bookmarkStart w:id="42" w:name="acknowledgements"/>
    <w:p>
      <w:pPr>
        <w:pStyle w:val="Heading1"/>
      </w:pPr>
      <w:r>
        <w:t xml:space="preserve">Acknowledgements</w:t>
      </w:r>
    </w:p>
    <w:p>
      <w:pPr>
        <w:pStyle w:val="FirstParagraph"/>
      </w:pPr>
      <w:r>
        <w:t xml:space="preserve">This article is developed from the author’s Master’s thesis in Applied Linguistics, Universitas Negeri Yogyakarta (2025), supervised by Dr. Titik Sudartinah.</w:t>
      </w:r>
    </w:p>
    <w:bookmarkEnd w:id="42"/>
    <w:bookmarkStart w:id="43" w:name="statement-on-the-use-of-generative-ai"/>
    <w:p>
      <w:pPr>
        <w:pStyle w:val="Heading1"/>
      </w:pPr>
      <w:r>
        <w:t xml:space="preserve">Statement on the use of generative AI</w:t>
      </w:r>
    </w:p>
    <w:p>
      <w:pPr>
        <w:pStyle w:val="FirstParagraph"/>
      </w:pPr>
      <w:r>
        <w:t xml:space="preserve">[AUTHOR TO REVIEW AND REWRITE BEFORE SUBMISSION. This statement must accurately describe the actual use of AI and comply with the target journal’s policy.] In preparing this revision, the author used Claude (Anthropic), a generative AI system, to assist with verifying the dataset against the Quranic Arabic Corpus, extracting and tabulating the translation renderings, restructuring the argument and drafting text. The author designed the study, collected and coded the original data, checked all counts against the supplementary data, verified every reference, and takes full responsibility for the content, interpretations and conclusions.</w:t>
      </w:r>
    </w:p>
    <w:bookmarkEnd w:id="43"/>
    <w:bookmarkStart w:id="44" w:name="references"/>
    <w:p>
      <w:pPr>
        <w:pStyle w:val="Heading1"/>
      </w:pPr>
      <w:r>
        <w:t xml:space="preserve">References</w:t>
      </w:r>
    </w:p>
    <w:p>
      <w:pPr>
        <w:pStyle w:val="FirstParagraph"/>
      </w:pPr>
      <w:r>
        <w:t xml:space="preserve">Abdelkarim, Majda B. A. and Ali A. M. Alhaj (2023)</w:t>
      </w:r>
      <w:r>
        <w:t xml:space="preserve"> </w:t>
      </w:r>
      <w:r>
        <w:t xml:space="preserve">‘</w:t>
      </w:r>
      <w:r>
        <w:t xml:space="preserve">Probing the Meaning Loss in the Translation of Arabic Qur’ānic Connotative Words into English: A Linguistic Semantic Perspective</w:t>
      </w:r>
      <w:r>
        <w:t xml:space="preserve">’</w:t>
      </w:r>
      <w:r>
        <w:t xml:space="preserve">,</w:t>
      </w:r>
      <w:r>
        <w:t xml:space="preserve"> </w:t>
      </w:r>
      <w:r>
        <w:rPr>
          <w:iCs/>
          <w:i/>
        </w:rPr>
        <w:t xml:space="preserve">Theory and Practice in Language Studies</w:t>
      </w:r>
      <w:r>
        <w:t xml:space="preserve"> </w:t>
      </w:r>
      <w:r>
        <w:t xml:space="preserve">13(10): 2644–2651. https://doi.org/10.17507/tpls.1310.23</w:t>
      </w:r>
    </w:p>
    <w:p>
      <w:pPr>
        <w:pStyle w:val="BodyText"/>
      </w:pPr>
      <w:r>
        <w:t xml:space="preserve">Abdul-Raof, Hussein (2023)</w:t>
      </w:r>
      <w:r>
        <w:t xml:space="preserve"> </w:t>
      </w:r>
      <w:r>
        <w:rPr>
          <w:iCs/>
          <w:i/>
        </w:rPr>
        <w:t xml:space="preserve">Qur’anic Semantics: Corpus and Lexical Behavior</w:t>
      </w:r>
      <w:r>
        <w:t xml:space="preserve">, Munich: LINCOM.</w:t>
      </w:r>
    </w:p>
    <w:p>
      <w:pPr>
        <w:pStyle w:val="BodyText"/>
      </w:pPr>
      <w:r>
        <w:t xml:space="preserve">Al-Awd, Mubarak (2024)</w:t>
      </w:r>
      <w:r>
        <w:t xml:space="preserve"> </w:t>
      </w:r>
      <w:r>
        <w:t xml:space="preserve">‘</w:t>
      </w:r>
      <w:r>
        <w:t xml:space="preserve">Some Defective Aspects of Lexis Translation in the Holy Quran into English</w:t>
      </w:r>
      <w:r>
        <w:t xml:space="preserve">’</w:t>
      </w:r>
      <w:r>
        <w:t xml:space="preserve">,</w:t>
      </w:r>
      <w:r>
        <w:t xml:space="preserve"> </w:t>
      </w:r>
      <w:r>
        <w:rPr>
          <w:iCs/>
          <w:i/>
        </w:rPr>
        <w:t xml:space="preserve">International Journal of Linguistics, Literature and Translation</w:t>
      </w:r>
      <w:r>
        <w:t xml:space="preserve"> </w:t>
      </w:r>
      <w:r>
        <w:t xml:space="preserve">7(5): 96–109. https://doi.org/10.32996/ijllt.2024.7.5.12</w:t>
      </w:r>
    </w:p>
    <w:p>
      <w:pPr>
        <w:pStyle w:val="BodyText"/>
      </w:pPr>
      <w:r>
        <w:t xml:space="preserve">Albahiri, Mohammed H. and Ali Albashir Mohammed Alhaj (2024)</w:t>
      </w:r>
      <w:r>
        <w:t xml:space="preserve"> </w:t>
      </w:r>
      <w:r>
        <w:t xml:space="preserve">‘</w:t>
      </w:r>
      <w:r>
        <w:t xml:space="preserve">Linguistic Obstacles Faced in Translating Some Unique Qur’anic Cultural Lexical Items into English: Reexploring Some Translation Approaches</w:t>
      </w:r>
      <w:r>
        <w:t xml:space="preserve">’</w:t>
      </w:r>
      <w:r>
        <w:t xml:space="preserve">,</w:t>
      </w:r>
      <w:r>
        <w:t xml:space="preserve"> </w:t>
      </w:r>
      <w:r>
        <w:rPr>
          <w:iCs/>
          <w:i/>
        </w:rPr>
        <w:t xml:space="preserve">World Journal of English Language</w:t>
      </w:r>
      <w:r>
        <w:t xml:space="preserve"> </w:t>
      </w:r>
      <w:r>
        <w:t xml:space="preserve">15(2): 43. https://doi.org/10.5430/wjel.v15n2p43</w:t>
      </w:r>
    </w:p>
    <w:p>
      <w:pPr>
        <w:pStyle w:val="BodyText"/>
      </w:pPr>
      <w:r>
        <w:t xml:space="preserve">Aldeeb, Najlaa (2026)</w:t>
      </w:r>
      <w:r>
        <w:t xml:space="preserve"> </w:t>
      </w:r>
      <w:r>
        <w:t xml:space="preserve">‘</w:t>
      </w:r>
      <w:r>
        <w:t xml:space="preserve">From Polemics to Peacebuilding: Tracing Interfaith Ideologies in Premodern and Contemporary Qur’ān Translations</w:t>
      </w:r>
      <w:r>
        <w:t xml:space="preserve">’</w:t>
      </w:r>
      <w:r>
        <w:t xml:space="preserve">,</w:t>
      </w:r>
      <w:r>
        <w:t xml:space="preserve"> </w:t>
      </w:r>
      <w:r>
        <w:rPr>
          <w:iCs/>
          <w:i/>
        </w:rPr>
        <w:t xml:space="preserve">Religions</w:t>
      </w:r>
      <w:r>
        <w:t xml:space="preserve"> </w:t>
      </w:r>
      <w:r>
        <w:t xml:space="preserve">17(5): 512. https://doi.org/10.3390/rel17050512</w:t>
      </w:r>
    </w:p>
    <w:p>
      <w:pPr>
        <w:pStyle w:val="BodyText"/>
      </w:pPr>
      <w:r>
        <w:t xml:space="preserve">Al-Ghazālī (1995)</w:t>
      </w:r>
      <w:r>
        <w:t xml:space="preserve"> </w:t>
      </w:r>
      <w:r>
        <w:rPr>
          <w:iCs/>
          <w:i/>
        </w:rPr>
        <w:t xml:space="preserve">Iḥyāʾ ʿUlūm al-Dīn</w:t>
      </w:r>
      <w:r>
        <w:t xml:space="preserve">, Beirut: Dār al-Kutub al-ʿIlmiyyah.</w:t>
      </w:r>
    </w:p>
    <w:p>
      <w:pPr>
        <w:pStyle w:val="BodyText"/>
      </w:pPr>
      <w:r>
        <w:t xml:space="preserve">Alhamshary, Y. A. (2025)</w:t>
      </w:r>
      <w:r>
        <w:t xml:space="preserve"> </w:t>
      </w:r>
      <w:r>
        <w:t xml:space="preserve">‘</w:t>
      </w:r>
      <w:r>
        <w:t xml:space="preserve">Semantic Challenges in Translating the Qur’an: A Comparative Analysis of Four English Translations of Surat Yusuf</w:t>
      </w:r>
      <w:r>
        <w:t xml:space="preserve">’</w:t>
      </w:r>
      <w:r>
        <w:t xml:space="preserve">,</w:t>
      </w:r>
      <w:r>
        <w:t xml:space="preserve"> </w:t>
      </w:r>
      <w:r>
        <w:rPr>
          <w:iCs/>
          <w:i/>
        </w:rPr>
        <w:t xml:space="preserve">Crossroads: Pharos International Journal of Languages and Translation</w:t>
      </w:r>
      <w:r>
        <w:t xml:space="preserve"> </w:t>
      </w:r>
      <w:r>
        <w:t xml:space="preserve">2(1). https://doi.org/10.21608/cpijlt.2025.460077</w:t>
      </w:r>
    </w:p>
    <w:p>
      <w:pPr>
        <w:pStyle w:val="BodyText"/>
      </w:pPr>
      <w:r>
        <w:t xml:space="preserve">Al-Hilali, Muhammad Taqi-ud-Din and Muhammad Muhsin Khan (trans.) (n.d.)</w:t>
      </w:r>
      <w:r>
        <w:t xml:space="preserve"> </w:t>
      </w:r>
      <w:r>
        <w:rPr>
          <w:iCs/>
          <w:i/>
        </w:rPr>
        <w:t xml:space="preserve">The Noble Qur’an</w:t>
      </w:r>
      <w:r>
        <w:t xml:space="preserve">, Madinah: King Fahd Complex. Accessed via the Quranic Arabic Corpus.</w:t>
      </w:r>
    </w:p>
    <w:p>
      <w:pPr>
        <w:pStyle w:val="BodyText"/>
      </w:pPr>
      <w:r>
        <w:t xml:space="preserve">Al-Jurjānī (1969)</w:t>
      </w:r>
      <w:r>
        <w:t xml:space="preserve"> </w:t>
      </w:r>
      <w:r>
        <w:rPr>
          <w:iCs/>
          <w:i/>
        </w:rPr>
        <w:t xml:space="preserve">Kitāb al-Taʿrīfāt</w:t>
      </w:r>
      <w:r>
        <w:t xml:space="preserve">, Beirut: Maktabat Lubnān.</w:t>
      </w:r>
    </w:p>
    <w:p>
      <w:pPr>
        <w:pStyle w:val="BodyText"/>
      </w:pPr>
      <w:r>
        <w:t xml:space="preserve">Almjlad, Sultan Samah A. (2025)</w:t>
      </w:r>
      <w:r>
        <w:t xml:space="preserve"> </w:t>
      </w:r>
      <w:r>
        <w:t xml:space="preserve">‘</w:t>
      </w:r>
      <w:r>
        <w:t xml:space="preserve">Semantic Untranslatability in Quranic Discourse: Challenges and Contextual Remedies in English Translation</w:t>
      </w:r>
      <w:r>
        <w:t xml:space="preserve">’</w:t>
      </w:r>
      <w:r>
        <w:t xml:space="preserve">,</w:t>
      </w:r>
      <w:r>
        <w:t xml:space="preserve"> </w:t>
      </w:r>
      <w:r>
        <w:rPr>
          <w:iCs/>
          <w:i/>
        </w:rPr>
        <w:t xml:space="preserve">Cogent Arts &amp; Humanities</w:t>
      </w:r>
      <w:r>
        <w:t xml:space="preserve"> </w:t>
      </w:r>
      <w:r>
        <w:t xml:space="preserve">12(1). https://doi.org/10.1080/23311983.2025.2542336</w:t>
      </w:r>
    </w:p>
    <w:p>
      <w:pPr>
        <w:pStyle w:val="BodyText"/>
      </w:pPr>
      <w:r>
        <w:t xml:space="preserve">Al-Qurṭubī (2007)</w:t>
      </w:r>
      <w:r>
        <w:t xml:space="preserve"> </w:t>
      </w:r>
      <w:r>
        <w:rPr>
          <w:iCs/>
          <w:i/>
        </w:rPr>
        <w:t xml:space="preserve">Tafsīr al-Qurṭubī</w:t>
      </w:r>
      <w:r>
        <w:t xml:space="preserve">, trans. Mahmud Hamid Utsman, Jakarta: Pustaka Azzam.</w:t>
      </w:r>
    </w:p>
    <w:p>
      <w:pPr>
        <w:pStyle w:val="BodyText"/>
      </w:pPr>
      <w:r>
        <w:t xml:space="preserve">Al-Rāghib al-Aṣfahānī (2007)</w:t>
      </w:r>
      <w:r>
        <w:t xml:space="preserve"> </w:t>
      </w:r>
      <w:r>
        <w:rPr>
          <w:iCs/>
          <w:i/>
        </w:rPr>
        <w:t xml:space="preserve">Al-Mufradāt fī Gharīb al-Qur’ān</w:t>
      </w:r>
      <w:r>
        <w:t xml:space="preserve">, Beirut: Dār al-Maʿrifah.</w:t>
      </w:r>
    </w:p>
    <w:p>
      <w:pPr>
        <w:pStyle w:val="BodyText"/>
      </w:pPr>
      <w:r>
        <w:t xml:space="preserve">Al-Ṭabarī (2009)</w:t>
      </w:r>
      <w:r>
        <w:t xml:space="preserve"> </w:t>
      </w:r>
      <w:r>
        <w:rPr>
          <w:iCs/>
          <w:i/>
        </w:rPr>
        <w:t xml:space="preserve">Tafsīr al-Ṭabarī</w:t>
      </w:r>
      <w:r>
        <w:t xml:space="preserve">, Jakarta: Pustaka Azzam.</w:t>
      </w:r>
    </w:p>
    <w:p>
      <w:pPr>
        <w:pStyle w:val="BodyText"/>
      </w:pPr>
      <w:r>
        <w:t xml:space="preserve">Arberry, Arthur J. (1955)</w:t>
      </w:r>
      <w:r>
        <w:t xml:space="preserve"> </w:t>
      </w:r>
      <w:r>
        <w:rPr>
          <w:iCs/>
          <w:i/>
        </w:rPr>
        <w:t xml:space="preserve">The Koran Interpreted</w:t>
      </w:r>
      <w:r>
        <w:t xml:space="preserve">, London: George Allen &amp; Unwin.</w:t>
      </w:r>
    </w:p>
    <w:p>
      <w:pPr>
        <w:pStyle w:val="BodyText"/>
      </w:pPr>
      <w:r>
        <w:t xml:space="preserve">Baker, Mona (2018)</w:t>
      </w:r>
      <w:r>
        <w:t xml:space="preserve"> </w:t>
      </w:r>
      <w:r>
        <w:rPr>
          <w:iCs/>
          <w:i/>
        </w:rPr>
        <w:t xml:space="preserve">In Other Words: A Coursebook on Translation</w:t>
      </w:r>
      <w:r>
        <w:t xml:space="preserve">, 3rd edition, London: Routledge.</w:t>
      </w:r>
    </w:p>
    <w:p>
      <w:pPr>
        <w:pStyle w:val="BodyText"/>
      </w:pPr>
      <w:r>
        <w:t xml:space="preserve">Baker, Mona (1993)</w:t>
      </w:r>
      <w:r>
        <w:t xml:space="preserve"> </w:t>
      </w:r>
      <w:r>
        <w:t xml:space="preserve">‘</w:t>
      </w:r>
      <w:r>
        <w:t xml:space="preserve">Corpus Linguistics and Translation Studies: Implications and Applications</w:t>
      </w:r>
      <w:r>
        <w:t xml:space="preserve">’</w:t>
      </w:r>
      <w:r>
        <w:t xml:space="preserve">, in Mona Baker, Gill Francis and Elena Tognini-Bonelli (eds)</w:t>
      </w:r>
      <w:r>
        <w:t xml:space="preserve"> </w:t>
      </w:r>
      <w:r>
        <w:rPr>
          <w:iCs/>
          <w:i/>
        </w:rPr>
        <w:t xml:space="preserve">Text and Technology: In Honour of John Sinclair</w:t>
      </w:r>
      <w:r>
        <w:t xml:space="preserve">, Amsterdam: John Benjamins, 233–250.</w:t>
      </w:r>
    </w:p>
    <w:p>
      <w:pPr>
        <w:pStyle w:val="BodyText"/>
      </w:pPr>
      <w:r>
        <w:t xml:space="preserve">Dukes, Kais and Nizar Habash (2010)</w:t>
      </w:r>
      <w:r>
        <w:t xml:space="preserve"> </w:t>
      </w:r>
      <w:r>
        <w:t xml:space="preserve">‘</w:t>
      </w:r>
      <w:r>
        <w:t xml:space="preserve">Morphological Annotation of Quranic Arabic</w:t>
      </w:r>
      <w:r>
        <w:t xml:space="preserve">’</w:t>
      </w:r>
      <w:r>
        <w:t xml:space="preserve">, in</w:t>
      </w:r>
      <w:r>
        <w:t xml:space="preserve"> </w:t>
      </w:r>
      <w:r>
        <w:rPr>
          <w:iCs/>
          <w:i/>
        </w:rPr>
        <w:t xml:space="preserve">Proceedings of the Seventh International Conference on Language Resources and Evaluation (LREC’10)</w:t>
      </w:r>
      <w:r>
        <w:t xml:space="preserve">, Valletta: ELRA.</w:t>
      </w:r>
    </w:p>
    <w:p>
      <w:pPr>
        <w:pStyle w:val="BodyText"/>
      </w:pPr>
      <w:r>
        <w:t xml:space="preserve">Dukes, Kais, Eric Atwell and Nizar Habash (2013)</w:t>
      </w:r>
      <w:r>
        <w:t xml:space="preserve"> </w:t>
      </w:r>
      <w:r>
        <w:t xml:space="preserve">‘</w:t>
      </w:r>
      <w:r>
        <w:t xml:space="preserve">Supervised Collaboration for Syntactic Annotation of Quranic Arabic</w:t>
      </w:r>
      <w:r>
        <w:t xml:space="preserve">’</w:t>
      </w:r>
      <w:r>
        <w:t xml:space="preserve">,</w:t>
      </w:r>
      <w:r>
        <w:t xml:space="preserve"> </w:t>
      </w:r>
      <w:r>
        <w:rPr>
          <w:iCs/>
          <w:i/>
        </w:rPr>
        <w:t xml:space="preserve">Language Resources and Evaluation</w:t>
      </w:r>
      <w:r>
        <w:t xml:space="preserve"> </w:t>
      </w:r>
      <w:r>
        <w:t xml:space="preserve">47(1): 33–62. https://doi.org/10.1007/s10579-011-9167-7</w:t>
      </w:r>
    </w:p>
    <w:p>
      <w:pPr>
        <w:pStyle w:val="BodyText"/>
      </w:pPr>
      <w:r>
        <w:t xml:space="preserve">ElHajAhmed, Mohammed Saleem and Haneen Nabil El Halabi (2022)</w:t>
      </w:r>
      <w:r>
        <w:t xml:space="preserve"> </w:t>
      </w:r>
      <w:r>
        <w:t xml:space="preserve">‘</w:t>
      </w:r>
      <w:r>
        <w:t xml:space="preserve">Impact of Semantic Loss in the Holy Quran with Reference to Yusuf Ali’s and Pickthall’s Translations of Al-Nur Surah</w:t>
      </w:r>
      <w:r>
        <w:t xml:space="preserve">’</w:t>
      </w:r>
      <w:r>
        <w:t xml:space="preserve">,</w:t>
      </w:r>
      <w:r>
        <w:t xml:space="preserve"> </w:t>
      </w:r>
      <w:r>
        <w:rPr>
          <w:iCs/>
          <w:i/>
        </w:rPr>
        <w:t xml:space="preserve">Islamic University Journal for Humanities Research</w:t>
      </w:r>
      <w:r>
        <w:t xml:space="preserve"> </w:t>
      </w:r>
      <w:r>
        <w:t xml:space="preserve">30(2). https://doi.org/10.33976/IUGJHR.30.2/2022/14</w:t>
      </w:r>
    </w:p>
    <w:p>
      <w:pPr>
        <w:pStyle w:val="BodyText"/>
      </w:pPr>
      <w:r>
        <w:t xml:space="preserve">Erebih, Mohamed and Ali Almanna (2026)</w:t>
      </w:r>
      <w:r>
        <w:t xml:space="preserve"> </w:t>
      </w:r>
      <w:r>
        <w:t xml:space="preserve">‘</w:t>
      </w:r>
      <w:r>
        <w:t xml:space="preserve">Ideological Horizons in English Translations of the Qur’an: Reassessing and Extending Robinson’s Framework</w:t>
      </w:r>
      <w:r>
        <w:t xml:space="preserve">’</w:t>
      </w:r>
      <w:r>
        <w:t xml:space="preserve">,</w:t>
      </w:r>
      <w:r>
        <w:t xml:space="preserve"> </w:t>
      </w:r>
      <w:r>
        <w:rPr>
          <w:iCs/>
          <w:i/>
        </w:rPr>
        <w:t xml:space="preserve">Social Sciences &amp; Humanities Open</w:t>
      </w:r>
      <w:r>
        <w:t xml:space="preserve"> </w:t>
      </w:r>
      <w:r>
        <w:t xml:space="preserve">13: 103022. https://doi.org/10.1016/j.ssaho.2026.103022</w:t>
      </w:r>
    </w:p>
    <w:p>
      <w:pPr>
        <w:pStyle w:val="BodyText"/>
      </w:pPr>
      <w:r>
        <w:t xml:space="preserve">Fathurrahman, Muhammad Albie (2025)</w:t>
      </w:r>
      <w:r>
        <w:t xml:space="preserve"> </w:t>
      </w:r>
      <w:r>
        <w:t xml:space="preserve">‘</w:t>
      </w:r>
      <w:r>
        <w:t xml:space="preserve">Analisis Terjemahan Istilah Teologis pada Al-Qur’an ke dalam Bahasa Inggris: Studi Korpus terhadap Kata Taqwā, Raḥmat, Kāfir, ʿAdzāb dan Rizq</w:t>
      </w:r>
      <w:r>
        <w:t xml:space="preserve">’</w:t>
      </w:r>
      <w:r>
        <w:t xml:space="preserve"> </w:t>
      </w:r>
      <w:r>
        <w:t xml:space="preserve">[An Analysis of the English Translation of Theological Terms in the Qur’an: A Corpus Study of Taqwā, Raḥmat, Kāfir, ʿAdhāb and Rizq], Master’s thesis, Universitas Negeri Yogyakarta.</w:t>
      </w:r>
    </w:p>
    <w:p>
      <w:pPr>
        <w:pStyle w:val="BodyText"/>
      </w:pPr>
      <w:r>
        <w:t xml:space="preserve">Gunawan, Fahmi (2022)</w:t>
      </w:r>
      <w:r>
        <w:t xml:space="preserve"> </w:t>
      </w:r>
      <w:r>
        <w:t xml:space="preserve">‘</w:t>
      </w:r>
      <w:r>
        <w:t xml:space="preserve">The Ideology of Translators in Quranic Translation: Lessons Learned from Indonesia</w:t>
      </w:r>
      <w:r>
        <w:t xml:space="preserve">’</w:t>
      </w:r>
      <w:r>
        <w:t xml:space="preserve">,</w:t>
      </w:r>
      <w:r>
        <w:t xml:space="preserve"> </w:t>
      </w:r>
      <w:r>
        <w:rPr>
          <w:iCs/>
          <w:i/>
        </w:rPr>
        <w:t xml:space="preserve">Cogent Arts &amp; Humanities</w:t>
      </w:r>
      <w:r>
        <w:t xml:space="preserve"> </w:t>
      </w:r>
      <w:r>
        <w:t xml:space="preserve">9(1). https://doi.org/10.1080/23311983.2022.2088438</w:t>
      </w:r>
    </w:p>
    <w:p>
      <w:pPr>
        <w:pStyle w:val="BodyText"/>
      </w:pPr>
      <w:r>
        <w:t xml:space="preserve">Hizbullah, Nur and Abdul Mutaali (2019)</w:t>
      </w:r>
      <w:r>
        <w:t xml:space="preserve"> </w:t>
      </w:r>
      <w:r>
        <w:t xml:space="preserve">‘</w:t>
      </w:r>
      <w:r>
        <w:t xml:space="preserve">Quranic Corpus Models for Corpus-Based Studies</w:t>
      </w:r>
      <w:r>
        <w:t xml:space="preserve">’</w:t>
      </w:r>
      <w:r>
        <w:t xml:space="preserve">, in</w:t>
      </w:r>
      <w:r>
        <w:t xml:space="preserve"> </w:t>
      </w:r>
      <w:r>
        <w:rPr>
          <w:iCs/>
          <w:i/>
        </w:rPr>
        <w:t xml:space="preserve">Proceedings of the Eleventh Conference on Applied Linguistics (CONAPLIN 2018)</w:t>
      </w:r>
      <w:r>
        <w:t xml:space="preserve">, Paris: Atlantis Press, 156–159.</w:t>
      </w:r>
    </w:p>
    <w:p>
      <w:pPr>
        <w:pStyle w:val="BodyText"/>
      </w:pPr>
      <w:r>
        <w:t xml:space="preserve">Ibn Kathīr (1998)</w:t>
      </w:r>
      <w:r>
        <w:t xml:space="preserve"> </w:t>
      </w:r>
      <w:r>
        <w:rPr>
          <w:iCs/>
          <w:i/>
        </w:rPr>
        <w:t xml:space="preserve">Tafsīr al-Qurʾān al-ʿAẓīm</w:t>
      </w:r>
      <w:r>
        <w:t xml:space="preserve">, Beirut: Dār al-Kutub al-ʿIlmiyyah. [AUTHOR: confirm the edition consulted.]</w:t>
      </w:r>
    </w:p>
    <w:p>
      <w:pPr>
        <w:pStyle w:val="BodyText"/>
      </w:pPr>
      <w:r>
        <w:t xml:space="preserve">Izutsu, Toshihiko (2002a)</w:t>
      </w:r>
      <w:r>
        <w:t xml:space="preserve"> </w:t>
      </w:r>
      <w:r>
        <w:rPr>
          <w:iCs/>
          <w:i/>
        </w:rPr>
        <w:t xml:space="preserve">God and Man in the Qur’an: Semantics of the Qur’anic Weltanschauung</w:t>
      </w:r>
      <w:r>
        <w:t xml:space="preserve">, Kuala Lumpur: Islamic Book Trust. (Originally published 1964.)</w:t>
      </w:r>
    </w:p>
    <w:p>
      <w:pPr>
        <w:pStyle w:val="BodyText"/>
      </w:pPr>
      <w:r>
        <w:t xml:space="preserve">Izutsu, Toshihiko (2002b)</w:t>
      </w:r>
      <w:r>
        <w:t xml:space="preserve"> </w:t>
      </w:r>
      <w:r>
        <w:rPr>
          <w:iCs/>
          <w:i/>
        </w:rPr>
        <w:t xml:space="preserve">Ethico-Religious Concepts in the Qur’ān</w:t>
      </w:r>
      <w:r>
        <w:t xml:space="preserve">, Montreal: McGill-Queen’s University Press. (Originally published 1966.)</w:t>
      </w:r>
    </w:p>
    <w:p>
      <w:pPr>
        <w:pStyle w:val="BodyText"/>
      </w:pPr>
      <w:r>
        <w:t xml:space="preserve">Kementerian Agama RI (2019)</w:t>
      </w:r>
      <w:r>
        <w:t xml:space="preserve"> </w:t>
      </w:r>
      <w:r>
        <w:rPr>
          <w:iCs/>
          <w:i/>
        </w:rPr>
        <w:t xml:space="preserve">Al-Qur’an dan Terjemahannya: Edisi Penyempurnaan 2019</w:t>
      </w:r>
      <w:r>
        <w:t xml:space="preserve">, Jakarta: Lajnah Pentashihan Mushaf Al-Qur’an.</w:t>
      </w:r>
    </w:p>
    <w:p>
      <w:pPr>
        <w:pStyle w:val="BodyText"/>
      </w:pPr>
      <w:r>
        <w:t xml:space="preserve">Laviosa, Sara (2002)</w:t>
      </w:r>
      <w:r>
        <w:t xml:space="preserve"> </w:t>
      </w:r>
      <w:r>
        <w:rPr>
          <w:iCs/>
          <w:i/>
        </w:rPr>
        <w:t xml:space="preserve">Corpus-based Translation Studies: Theory, Findings, Applications</w:t>
      </w:r>
      <w:r>
        <w:t xml:space="preserve">, Amsterdam: Rodopi.</w:t>
      </w:r>
    </w:p>
    <w:p>
      <w:pPr>
        <w:pStyle w:val="BodyText"/>
      </w:pPr>
      <w:r>
        <w:t xml:space="preserve">Naudé, Jacobus A. (2020)</w:t>
      </w:r>
      <w:r>
        <w:t xml:space="preserve"> </w:t>
      </w:r>
      <w:r>
        <w:t xml:space="preserve">‘</w:t>
      </w:r>
      <w:r>
        <w:t xml:space="preserve">Translations of Sacred Texts and the Shaping, Reshaping and Circulation of Religious Knowledge in Monotheistic Religions with Written Traditions: A South African Perspective</w:t>
      </w:r>
      <w:r>
        <w:t xml:space="preserve">’</w:t>
      </w:r>
      <w:r>
        <w:t xml:space="preserve">,</w:t>
      </w:r>
      <w:r>
        <w:t xml:space="preserve"> </w:t>
      </w:r>
      <w:r>
        <w:rPr>
          <w:iCs/>
          <w:i/>
        </w:rPr>
        <w:t xml:space="preserve">Journal for Semitics</w:t>
      </w:r>
      <w:r>
        <w:t xml:space="preserve"> </w:t>
      </w:r>
      <w:r>
        <w:t xml:space="preserve">29(1). https://doi.org/10.25159/2663-6573/8005</w:t>
      </w:r>
    </w:p>
    <w:p>
      <w:pPr>
        <w:pStyle w:val="BodyText"/>
      </w:pPr>
      <w:r>
        <w:t xml:space="preserve">Nida, Eugene A. (1964)</w:t>
      </w:r>
      <w:r>
        <w:t xml:space="preserve"> </w:t>
      </w:r>
      <w:r>
        <w:rPr>
          <w:iCs/>
          <w:i/>
        </w:rPr>
        <w:t xml:space="preserve">Toward a Science of Translating</w:t>
      </w:r>
      <w:r>
        <w:t xml:space="preserve">, Leiden: E. J. Brill.</w:t>
      </w:r>
    </w:p>
    <w:p>
      <w:pPr>
        <w:pStyle w:val="BodyText"/>
      </w:pPr>
      <w:r>
        <w:t xml:space="preserve">Nida, Eugene A. and Charles R. Taber (1982)</w:t>
      </w:r>
      <w:r>
        <w:t xml:space="preserve"> </w:t>
      </w:r>
      <w:r>
        <w:rPr>
          <w:iCs/>
          <w:i/>
        </w:rPr>
        <w:t xml:space="preserve">The Theory and Practice of Translation</w:t>
      </w:r>
      <w:r>
        <w:t xml:space="preserve">, Leiden: E. J. Brill.</w:t>
      </w:r>
    </w:p>
    <w:p>
      <w:pPr>
        <w:pStyle w:val="BodyText"/>
      </w:pPr>
      <w:r>
        <w:t xml:space="preserve">Nord, Christiane (2018)</w:t>
      </w:r>
      <w:r>
        <w:t xml:space="preserve"> </w:t>
      </w:r>
      <w:r>
        <w:rPr>
          <w:iCs/>
          <w:i/>
        </w:rPr>
        <w:t xml:space="preserve">Translating as a Purposeful Activity: Functionalist Approaches Explained</w:t>
      </w:r>
      <w:r>
        <w:t xml:space="preserve">, 2nd edition, London: Routledge.</w:t>
      </w:r>
    </w:p>
    <w:p>
      <w:pPr>
        <w:pStyle w:val="BodyText"/>
      </w:pPr>
      <w:r>
        <w:t xml:space="preserve">Oxford Learner’s Dictionaries (n.d.)</w:t>
      </w:r>
      <w:r>
        <w:t xml:space="preserve"> </w:t>
      </w:r>
      <w:r>
        <w:t xml:space="preserve">‘</w:t>
      </w:r>
      <w:r>
        <w:t xml:space="preserve">mercy</w:t>
      </w:r>
      <w:r>
        <w:t xml:space="preserve">’</w:t>
      </w:r>
      <w:r>
        <w:t xml:space="preserve">;</w:t>
      </w:r>
      <w:r>
        <w:t xml:space="preserve"> </w:t>
      </w:r>
      <w:r>
        <w:t xml:space="preserve">‘</w:t>
      </w:r>
      <w:r>
        <w:t xml:space="preserve">righteousness</w:t>
      </w:r>
      <w:r>
        <w:t xml:space="preserve">’</w:t>
      </w:r>
      <w:r>
        <w:t xml:space="preserve">. https://www.oxfordlearnersdictionaries.com [AUTHOR: add access date.]</w:t>
      </w:r>
    </w:p>
    <w:p>
      <w:pPr>
        <w:pStyle w:val="BodyText"/>
      </w:pPr>
      <w:r>
        <w:t xml:space="preserve">Pickthall, Marmaduke (1930)</w:t>
      </w:r>
      <w:r>
        <w:t xml:space="preserve"> </w:t>
      </w:r>
      <w:r>
        <w:rPr>
          <w:iCs/>
          <w:i/>
        </w:rPr>
        <w:t xml:space="preserve">The Meaning of the Glorious Koran</w:t>
      </w:r>
      <w:r>
        <w:t xml:space="preserve">, London: Alfred A. Knopf.</w:t>
      </w:r>
    </w:p>
    <w:p>
      <w:pPr>
        <w:pStyle w:val="BodyText"/>
      </w:pPr>
      <w:r>
        <w:t xml:space="preserve">Pym, Anthony (2023)</w:t>
      </w:r>
      <w:r>
        <w:t xml:space="preserve"> </w:t>
      </w:r>
      <w:r>
        <w:rPr>
          <w:iCs/>
          <w:i/>
        </w:rPr>
        <w:t xml:space="preserve">Exploring Translation Theories</w:t>
      </w:r>
      <w:r>
        <w:t xml:space="preserve">, 3rd edition, London: Routledge.</w:t>
      </w:r>
    </w:p>
    <w:p>
      <w:pPr>
        <w:pStyle w:val="BodyText"/>
      </w:pPr>
      <w:r>
        <w:t xml:space="preserve">Quranic Arabic Corpus (n.d.)</w:t>
      </w:r>
      <w:r>
        <w:t xml:space="preserve"> </w:t>
      </w:r>
      <w:r>
        <w:t xml:space="preserve">‘</w:t>
      </w:r>
      <w:r>
        <w:t xml:space="preserve">Frequently Asked Questions</w:t>
      </w:r>
      <w:r>
        <w:t xml:space="preserve">’</w:t>
      </w:r>
      <w:r>
        <w:t xml:space="preserve">;</w:t>
      </w:r>
      <w:r>
        <w:t xml:space="preserve"> </w:t>
      </w:r>
      <w:r>
        <w:t xml:space="preserve">‘</w:t>
      </w:r>
      <w:r>
        <w:t xml:space="preserve">Quran Dictionary</w:t>
      </w:r>
      <w:r>
        <w:t xml:space="preserve">’</w:t>
      </w:r>
      <w:r>
        <w:t xml:space="preserve">;</w:t>
      </w:r>
      <w:r>
        <w:t xml:space="preserve"> </w:t>
      </w:r>
      <w:r>
        <w:t xml:space="preserve">‘</w:t>
      </w:r>
      <w:r>
        <w:t xml:space="preserve">Translation</w:t>
      </w:r>
      <w:r>
        <w:t xml:space="preserve">’</w:t>
      </w:r>
      <w:r>
        <w:t xml:space="preserve">. https://corpus.quran.com (accessed 28 October 2026).</w:t>
      </w:r>
    </w:p>
    <w:p>
      <w:pPr>
        <w:pStyle w:val="BodyText"/>
      </w:pPr>
      <w:r>
        <w:t xml:space="preserve">Sahih International [Saheeh International] (1997)</w:t>
      </w:r>
      <w:r>
        <w:t xml:space="preserve"> </w:t>
      </w:r>
      <w:r>
        <w:rPr>
          <w:iCs/>
          <w:i/>
        </w:rPr>
        <w:t xml:space="preserve">The Qur’an: Arabic Text with Corresponding English Meanings</w:t>
      </w:r>
      <w:r>
        <w:t xml:space="preserve">, Jeddah: Abul-Qasim Publishing House.</w:t>
      </w:r>
    </w:p>
    <w:p>
      <w:pPr>
        <w:pStyle w:val="BodyText"/>
      </w:pPr>
      <w:r>
        <w:t xml:space="preserve">Shehab, Ekrema (2026)</w:t>
      </w:r>
      <w:r>
        <w:t xml:space="preserve"> </w:t>
      </w:r>
      <w:r>
        <w:t xml:space="preserve">‘</w:t>
      </w:r>
      <w:r>
        <w:t xml:space="preserve">A Shallow Echo: Artificial Intelligence and the Semantic Flattening of the Qur’an</w:t>
      </w:r>
      <w:r>
        <w:t xml:space="preserve">’</w:t>
      </w:r>
      <w:r>
        <w:t xml:space="preserve">,</w:t>
      </w:r>
      <w:r>
        <w:t xml:space="preserve"> </w:t>
      </w:r>
      <w:r>
        <w:rPr>
          <w:iCs/>
          <w:i/>
        </w:rPr>
        <w:t xml:space="preserve">Learned Publishing</w:t>
      </w:r>
      <w:r>
        <w:t xml:space="preserve"> </w:t>
      </w:r>
      <w:r>
        <w:t xml:space="preserve">39(3). https://doi.org/10.1002/leap.2063</w:t>
      </w:r>
    </w:p>
    <w:p>
      <w:pPr>
        <w:pStyle w:val="BodyText"/>
      </w:pPr>
      <w:r>
        <w:t xml:space="preserve">Snell-Hornby, Mary (1988)</w:t>
      </w:r>
      <w:r>
        <w:t xml:space="preserve"> </w:t>
      </w:r>
      <w:r>
        <w:rPr>
          <w:iCs/>
          <w:i/>
        </w:rPr>
        <w:t xml:space="preserve">Translation Studies: An Integrated Approach</w:t>
      </w:r>
      <w:r>
        <w:t xml:space="preserve">, Amsterdam: John Benjamins.</w:t>
      </w:r>
    </w:p>
    <w:p>
      <w:pPr>
        <w:pStyle w:val="BodyText"/>
      </w:pPr>
      <w:r>
        <w:t xml:space="preserve">Suaidi, Afif and Moh Nur Arifin (2021)</w:t>
      </w:r>
      <w:r>
        <w:t xml:space="preserve"> </w:t>
      </w:r>
      <w:r>
        <w:t xml:space="preserve">‘</w:t>
      </w:r>
      <w:r>
        <w:t xml:space="preserve">Ideological Tendencies in the Six English Qur’an Translation on QS. Ar-Rum 41</w:t>
      </w:r>
      <w:r>
        <w:t xml:space="preserve">’</w:t>
      </w:r>
      <w:r>
        <w:t xml:space="preserve">,</w:t>
      </w:r>
      <w:r>
        <w:t xml:space="preserve"> </w:t>
      </w:r>
      <w:r>
        <w:rPr>
          <w:iCs/>
          <w:i/>
        </w:rPr>
        <w:t xml:space="preserve">Jurnal Studi Ilmu-ilmu Al-Qur’an dan Hadis</w:t>
      </w:r>
      <w:r>
        <w:t xml:space="preserve"> </w:t>
      </w:r>
      <w:r>
        <w:t xml:space="preserve">22(2): 279–300. https://doi.org/10.14421/qh.2021.2202-01</w:t>
      </w:r>
    </w:p>
    <w:p>
      <w:pPr>
        <w:pStyle w:val="BodyText"/>
      </w:pPr>
      <w:r>
        <w:t xml:space="preserve">Toury, Gideon (2012)</w:t>
      </w:r>
      <w:r>
        <w:t xml:space="preserve"> </w:t>
      </w:r>
      <w:r>
        <w:rPr>
          <w:iCs/>
          <w:i/>
        </w:rPr>
        <w:t xml:space="preserve">Descriptive Translation Studies – and Beyond</w:t>
      </w:r>
      <w:r>
        <w:t xml:space="preserve">, revised edition, Amsterdam: John Benjamins.</w:t>
      </w:r>
    </w:p>
    <w:p>
      <w:pPr>
        <w:pStyle w:val="BodyText"/>
      </w:pPr>
      <w:r>
        <w:t xml:space="preserve">Venuti, Lawrence (2018)</w:t>
      </w:r>
      <w:r>
        <w:t xml:space="preserve"> </w:t>
      </w:r>
      <w:r>
        <w:rPr>
          <w:iCs/>
          <w:i/>
        </w:rPr>
        <w:t xml:space="preserve">The Translator’s Invisibility: A History of Translation</w:t>
      </w:r>
      <w:r>
        <w:t xml:space="preserve">, 3rd edition, London: Routledge.</w:t>
      </w:r>
    </w:p>
    <w:p>
      <w:pPr>
        <w:pStyle w:val="BodyText"/>
      </w:pPr>
      <w:r>
        <w:t xml:space="preserve">Yusuf Ali, Abdullah (1934)</w:t>
      </w:r>
      <w:r>
        <w:t xml:space="preserve"> </w:t>
      </w:r>
      <w:r>
        <w:rPr>
          <w:iCs/>
          <w:i/>
        </w:rPr>
        <w:t xml:space="preserve">The Holy Qur-an: Text, Translation and Commentary</w:t>
      </w:r>
      <w:r>
        <w:t xml:space="preserve">, Lahore: Shaikh Muhammad Ashraf.</w:t>
      </w:r>
    </w:p>
    <w:p>
      <w:pPr>
        <w:pStyle w:val="BodyText"/>
      </w:pPr>
      <w:r>
        <w:t xml:space="preserve">Zitouni, Mohammed, Bahia Zemni and Abdul-Qadir K. Abdul-Ghafour (2023)</w:t>
      </w:r>
      <w:r>
        <w:t xml:space="preserve"> </w:t>
      </w:r>
      <w:r>
        <w:t xml:space="preserve">‘</w:t>
      </w:r>
      <w:r>
        <w:t xml:space="preserve">A Semantic Review of Qur’ānic Near-Synonyms, English and French Translations</w:t>
      </w:r>
      <w:r>
        <w:t xml:space="preserve">’</w:t>
      </w:r>
      <w:r>
        <w:t xml:space="preserve">,</w:t>
      </w:r>
      <w:r>
        <w:t xml:space="preserve"> </w:t>
      </w:r>
      <w:r>
        <w:rPr>
          <w:iCs/>
          <w:i/>
        </w:rPr>
        <w:t xml:space="preserve">Journal of Intercultural Communication</w:t>
      </w:r>
      <w:r>
        <w:t xml:space="preserve">: 82–91.</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2"/>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2"/>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Between Gloss and Faith: Interlinear Glossing, Sentence-Level Translation and the Semantic Narrowing of Taqwā, Raḥmat and Kāfir in the Quranic Arabic Corpus</dc:title>
  <dc:creator/>
  <cp:keywords/>
  <dcterms:created xsi:type="dcterms:W3CDTF">2026-10-28T10:19:01Z</dcterms:created>
  <dcterms:modified xsi:type="dcterms:W3CDTF">2026-10-28T10:19:01Z</dcterms:modified>
</cp:coreProperties>
</file>

<file path=docProps/custom.xml><?xml version="1.0" encoding="utf-8"?>
<Properties xmlns="http://schemas.openxmlformats.org/officeDocument/2006/custom-properties" xmlns:vt="http://schemas.openxmlformats.org/officeDocument/2006/docPropsVTypes"/>
</file>