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HealthConnect Experience Lab</w:t>
      </w:r>
    </w:p>
    <w:p>
      <w:pPr>
        <w:spacing w:after="60"/>
        <w:jc w:val="center"/>
      </w:pPr>
      <w:r>
        <w:rPr>
          <w:b/>
          <w:bCs/>
          <w:sz w:val="26"/>
          <w:szCs w:val="26"/>
        </w:rPr>
        <w:t xml:space="preserve">Week 7: Data Analytics Track, Analytics Testing &amp; Refinement Report</w:t>
      </w:r>
    </w:p>
    <w:p>
      <w:pPr>
        <w:spacing w:after="400"/>
        <w:jc w:val="center"/>
      </w:pPr>
      <w:r>
        <w:rPr>
          <w:i/>
          <w:iCs/>
          <w:sz w:val="22"/>
          <w:szCs w:val="22"/>
        </w:rPr>
        <w:t xml:space="preserve">AnalystLab Africa Internship Programme</w:t>
      </w:r>
    </w:p>
    <w:p>
      <w:pPr>
        <w:pStyle w:val="Heading1"/>
        <w:spacing w:after="150" w:before="300"/>
      </w:pPr>
      <w:r>
        <w:t xml:space="preserve">1. Week 6 to Week 7 Transition</w:t>
      </w:r>
    </w:p>
    <w:p>
      <w:pPr>
        <w:pStyle w:val="ListParagraph"/>
        <w:numPr>
          <w:ilvl w:val="0"/>
          <w:numId w:val="2"/>
        </w:numPr>
        <w:spacing w:after="80"/>
      </w:pPr>
      <w:r>
        <w:rPr>
          <w:b/>
          <w:bCs/>
        </w:rPr>
        <w:t xml:space="preserve">My main Week 6 output: </w:t>
      </w:r>
      <w:r>
        <w:t xml:space="preserve">the Advanced Analytics Report, where I dug deeper into two of my strongest Week 5 findings, booking lead time and prior no-show history, and found they compound when combined.</w:t>
      </w:r>
    </w:p>
    <w:p>
      <w:pPr>
        <w:pStyle w:val="ListParagraph"/>
        <w:numPr>
          <w:ilvl w:val="0"/>
          <w:numId w:val="2"/>
        </w:numPr>
        <w:spacing w:after="80"/>
      </w:pPr>
      <w:r>
        <w:rPr>
          <w:b/>
          <w:bCs/>
        </w:rPr>
        <w:t xml:space="preserve">The most important result from Week 6: </w:t>
      </w:r>
      <w:r>
        <w:t xml:space="preserve">identifying that patients with a long lead time and a prior no-show reach a 73.2% no-show rate, compared to just 17.1% for the safest group, and confirming this pattern held up across every appointment type.</w:t>
      </w:r>
    </w:p>
    <w:p>
      <w:pPr>
        <w:pStyle w:val="ListParagraph"/>
        <w:numPr>
          <w:ilvl w:val="0"/>
          <w:numId w:val="2"/>
        </w:numPr>
        <w:spacing w:after="80"/>
      </w:pPr>
      <w:r>
        <w:rPr>
          <w:b/>
          <w:bCs/>
        </w:rPr>
        <w:t xml:space="preserve">The main issue I flagged in Week 6: </w:t>
      </w:r>
      <w:r>
        <w:t xml:space="preserve">I didn't have a Data Science teammate to actually hand my findings to, so my cross-track integration was one-sided. I also noted that waiting_time_minutes has values recorded even for missed appointments, which doesn't fully make sense.</w:t>
      </w:r>
    </w:p>
    <w:p>
      <w:pPr>
        <w:pStyle w:val="ListParagraph"/>
        <w:numPr>
          <w:ilvl w:val="0"/>
          <w:numId w:val="2"/>
        </w:numPr>
        <w:spacing w:after="80"/>
      </w:pPr>
      <w:r>
        <w:rPr>
          <w:b/>
          <w:bCs/>
        </w:rPr>
        <w:t xml:space="preserve">What needs testing this week: </w:t>
      </w:r>
      <w:r>
        <w:t xml:space="preserve">my KPI calculations and dashboard, to make sure everything I reported in Week 5 and 6 is actually accurate, and my compounding risk finding, to see if it holds up under more rigorous testing rather than just looking right on a chart.</w:t>
      </w:r>
    </w:p>
    <w:p>
      <w:pPr>
        <w:pStyle w:val="ListParagraph"/>
        <w:numPr>
          <w:ilvl w:val="0"/>
          <w:numId w:val="2"/>
        </w:numPr>
        <w:spacing w:after="80"/>
      </w:pPr>
      <w:r>
        <w:rPr>
          <w:b/>
          <w:bCs/>
        </w:rPr>
        <w:t xml:space="preserve">Relevant tracks: </w:t>
      </w:r>
      <w:r>
        <w:t xml:space="preserve">Data Analytics is where the testing happens, but Data Science is still the track my findings feed into once a collaborator is available.</w:t>
      </w:r>
    </w:p>
    <w:p>
      <w:pPr>
        <w:pStyle w:val="ListParagraph"/>
        <w:numPr>
          <w:ilvl w:val="0"/>
          <w:numId w:val="2"/>
        </w:numPr>
        <w:spacing w:after="80"/>
      </w:pPr>
      <w:r>
        <w:rPr>
          <w:b/>
          <w:bCs/>
        </w:rPr>
        <w:t xml:space="preserve">What I'm testing: </w:t>
      </w:r>
      <w:r>
        <w:t xml:space="preserve">whether my dashboard numbers match the raw dataset exactly, and whether the lead time and prior history effects are statistically real rather than just a pattern that happens to look convincing.</w:t>
      </w:r>
    </w:p>
    <w:p>
      <w:pPr>
        <w:pStyle w:val="ListParagraph"/>
        <w:numPr>
          <w:ilvl w:val="0"/>
          <w:numId w:val="2"/>
        </w:numPr>
        <w:spacing w:after="80"/>
      </w:pPr>
      <w:r>
        <w:rPr>
          <w:b/>
          <w:bCs/>
        </w:rPr>
        <w:t xml:space="preserve">What I expect to improve or validate: </w:t>
      </w:r>
      <w:r>
        <w:t xml:space="preserve">catching any calculation or labelling errors before they carry forward, and putting real statistical weight behind my headline finding instead of just a percentage comparison.</w:t>
      </w:r>
    </w:p>
    <w:p>
      <w:pPr>
        <w:pStyle w:val="Heading1"/>
        <w:spacing w:after="150" w:before="300"/>
      </w:pPr>
      <w:r>
        <w:t xml:space="preserve">2. Week 7 Testing Readiness</w:t>
      </w:r>
    </w:p>
    <w:p>
      <w:pPr>
        <w:pStyle w:val="Heading2"/>
        <w:spacing w:after="120" w:before="240"/>
      </w:pPr>
      <w:r>
        <w:t xml:space="preserve">A. Component Being Tested</w:t>
      </w:r>
    </w:p>
    <w:p>
      <w:pPr>
        <w:pStyle w:val="ListParagraph"/>
        <w:numPr>
          <w:ilvl w:val="0"/>
          <w:numId w:val="2"/>
        </w:numPr>
        <w:spacing w:after="80"/>
      </w:pPr>
      <w:r>
        <w:rPr>
          <w:b/>
          <w:bCs/>
        </w:rPr>
        <w:t xml:space="preserve">What I'm testing: </w:t>
      </w:r>
      <w:r>
        <w:t xml:space="preserve">my Power BI dashboard's KPI cards and breakdown charts, plus the underlying calculations behind my Week 6 compounding risk finding.</w:t>
      </w:r>
    </w:p>
    <w:p>
      <w:pPr>
        <w:pStyle w:val="ListParagraph"/>
        <w:numPr>
          <w:ilvl w:val="0"/>
          <w:numId w:val="2"/>
        </w:numPr>
        <w:spacing w:after="80"/>
      </w:pPr>
      <w:r>
        <w:rPr>
          <w:b/>
          <w:bCs/>
        </w:rPr>
        <w:t xml:space="preserve">Intended purpose: </w:t>
      </w:r>
      <w:r>
        <w:t xml:space="preserve">to give HealthConnect an accurate, trustworthy view of what drives missed appointments, so any recommendations built on top of it are actually sound.</w:t>
      </w:r>
    </w:p>
    <w:p>
      <w:pPr>
        <w:pStyle w:val="ListParagraph"/>
        <w:numPr>
          <w:ilvl w:val="0"/>
          <w:numId w:val="2"/>
        </w:numPr>
        <w:spacing w:after="80"/>
      </w:pPr>
      <w:r>
        <w:rPr>
          <w:b/>
          <w:bCs/>
        </w:rPr>
        <w:t xml:space="preserve">Requirement it needs to meet: </w:t>
      </w:r>
      <w:r>
        <w:t xml:space="preserve">every number on the dashboard should match what you'd get calculating it directly from the raw dataset, and my key finding should hold up to more than a visual comparison.</w:t>
      </w:r>
    </w:p>
    <w:p>
      <w:pPr>
        <w:pStyle w:val="ListParagraph"/>
        <w:numPr>
          <w:ilvl w:val="0"/>
          <w:numId w:val="2"/>
        </w:numPr>
        <w:spacing w:after="80"/>
      </w:pPr>
      <w:r>
        <w:rPr>
          <w:b/>
          <w:bCs/>
        </w:rPr>
        <w:t xml:space="preserve">Tracks connected to this: </w:t>
      </w:r>
      <w:r>
        <w:t xml:space="preserve">Data Analytics, since I own this component, and Data Science, since they're the eventual recipient of these findings.</w:t>
      </w:r>
    </w:p>
    <w:p>
      <w:pPr>
        <w:pStyle w:val="Heading2"/>
        <w:spacing w:after="120" w:before="240"/>
      </w:pPr>
      <w:r>
        <w:t xml:space="preserve">B. Testing Objective</w:t>
      </w:r>
    </w:p>
    <w:p>
      <w:pPr>
        <w:spacing w:after="160"/>
      </w:pPr>
      <w:r>
        <w:t xml:space="preserve">What I wanted to find out this week was simple: does my dashboard actually produce accurate numbers, and does my biggest finding from Week 6, that lead time and prior no-show history compound, hold up when I test it properly rather than just eyeballing a bar chart.</w:t>
      </w:r>
    </w:p>
    <w:p>
      <w:pPr>
        <w:pStyle w:val="Heading1"/>
        <w:spacing w:after="150" w:before="300"/>
      </w:pPr>
      <w:r>
        <w:t xml:space="preserve">3. Testing Results</w:t>
      </w:r>
    </w:p>
    <w:p>
      <w:pPr>
        <w:pStyle w:val="Heading2"/>
        <w:spacing w:after="120" w:before="240"/>
      </w:pPr>
      <w:r>
        <w:t xml:space="preserve">3.1 KPI Card Verification</w:t>
      </w:r>
    </w:p>
    <w:p>
      <w:pPr>
        <w:spacing w:after="160"/>
      </w:pPr>
      <w:r>
        <w:t xml:space="preserve">I went back to the raw dataset and recalculated every one of my six top-row KPI cards completely independently of Power BI, just using plain calculations, to see if they matched.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600"/>
        <w:gridCol w:w="1700"/>
      </w:tblGrid>
      <w:tr>
        <w:trPr>
          <w:tblHeader/>
        </w:trPr>
        <w:tc>
          <w:tcPr>
            <w:tcW w:type="dxa" w:w="3000"/>
            <w:shd w:fill="D9EFEC" w:val="clear"/>
            <w:tcMar>
              <w:top w:type="dxa" w:w="80"/>
              <w:left w:type="dxa" w:w="100"/>
              <w:bottom w:type="dxa" w:w="80"/>
              <w:right w:type="dxa" w:w="100"/>
            </w:tcMar>
          </w:tcPr>
          <w:p>
            <w:r>
              <w:rPr>
                <w:b/>
                <w:bCs/>
                <w:sz w:val="18"/>
                <w:szCs w:val="18"/>
              </w:rPr>
              <w:t xml:space="preserve">KPI</w:t>
            </w:r>
          </w:p>
        </w:tc>
        <w:tc>
          <w:tcPr>
            <w:tcW w:type="dxa" w:w="2400"/>
            <w:shd w:fill="D9EFEC" w:val="clear"/>
            <w:tcMar>
              <w:top w:type="dxa" w:w="80"/>
              <w:left w:type="dxa" w:w="100"/>
              <w:bottom w:type="dxa" w:w="80"/>
              <w:right w:type="dxa" w:w="100"/>
            </w:tcMar>
          </w:tcPr>
          <w:p>
            <w:r>
              <w:rPr>
                <w:b/>
                <w:bCs/>
                <w:sz w:val="18"/>
                <w:szCs w:val="18"/>
              </w:rPr>
              <w:t xml:space="preserve">Dashboard Value</w:t>
            </w:r>
          </w:p>
        </w:tc>
        <w:tc>
          <w:tcPr>
            <w:tcW w:type="dxa" w:w="2600"/>
            <w:shd w:fill="D9EFEC" w:val="clear"/>
            <w:tcMar>
              <w:top w:type="dxa" w:w="80"/>
              <w:left w:type="dxa" w:w="100"/>
              <w:bottom w:type="dxa" w:w="80"/>
              <w:right w:type="dxa" w:w="100"/>
            </w:tcMar>
          </w:tcPr>
          <w:p>
            <w:r>
              <w:rPr>
                <w:b/>
                <w:bCs/>
                <w:sz w:val="18"/>
                <w:szCs w:val="18"/>
              </w:rPr>
              <w:t xml:space="preserve">Recalculated Value</w:t>
            </w:r>
          </w:p>
        </w:tc>
        <w:tc>
          <w:tcPr>
            <w:tcW w:type="dxa" w:w="1700"/>
            <w:shd w:fill="D9EFEC" w:val="clear"/>
            <w:tcMar>
              <w:top w:type="dxa" w:w="80"/>
              <w:left w:type="dxa" w:w="100"/>
              <w:bottom w:type="dxa" w:w="80"/>
              <w:right w:type="dxa" w:w="100"/>
            </w:tcMar>
          </w:tcPr>
          <w:p>
            <w:r>
              <w:rPr>
                <w:b/>
                <w:bCs/>
                <w:sz w:val="18"/>
                <w:szCs w:val="18"/>
              </w:rPr>
              <w:t xml:space="preserve">Result</w:t>
            </w:r>
          </w:p>
        </w:tc>
      </w:tr>
      <w:tr>
        <w:tc>
          <w:tcPr>
            <w:tcW w:type="dxa" w:w="3000"/>
            <w:tcMar>
              <w:top w:type="dxa" w:w="80"/>
              <w:left w:type="dxa" w:w="100"/>
              <w:bottom w:type="dxa" w:w="80"/>
              <w:right w:type="dxa" w:w="100"/>
            </w:tcMar>
          </w:tcPr>
          <w:p>
            <w:r>
              <w:rPr>
                <w:b w:val="false"/>
                <w:bCs w:val="false"/>
                <w:sz w:val="18"/>
                <w:szCs w:val="18"/>
              </w:rPr>
              <w:t xml:space="preserve">Total Appointments</w:t>
            </w:r>
          </w:p>
        </w:tc>
        <w:tc>
          <w:tcPr>
            <w:tcW w:type="dxa" w:w="2400"/>
            <w:tcMar>
              <w:top w:type="dxa" w:w="80"/>
              <w:left w:type="dxa" w:w="100"/>
              <w:bottom w:type="dxa" w:w="80"/>
              <w:right w:type="dxa" w:w="100"/>
            </w:tcMar>
          </w:tcPr>
          <w:p>
            <w:r>
              <w:rPr>
                <w:b w:val="false"/>
                <w:bCs w:val="false"/>
                <w:sz w:val="18"/>
                <w:szCs w:val="18"/>
              </w:rPr>
              <w:t xml:space="preserve">5,000</w:t>
            </w:r>
          </w:p>
        </w:tc>
        <w:tc>
          <w:tcPr>
            <w:tcW w:type="dxa" w:w="2600"/>
            <w:tcMar>
              <w:top w:type="dxa" w:w="80"/>
              <w:left w:type="dxa" w:w="100"/>
              <w:bottom w:type="dxa" w:w="80"/>
              <w:right w:type="dxa" w:w="100"/>
            </w:tcMar>
          </w:tcPr>
          <w:p>
            <w:r>
              <w:rPr>
                <w:b w:val="false"/>
                <w:bCs w:val="false"/>
                <w:sz w:val="18"/>
                <w:szCs w:val="18"/>
              </w:rPr>
              <w:t xml:space="preserve">5,000</w:t>
            </w:r>
          </w:p>
        </w:tc>
        <w:tc>
          <w:tcPr>
            <w:tcW w:type="dxa" w:w="1700"/>
            <w:tcMar>
              <w:top w:type="dxa" w:w="80"/>
              <w:left w:type="dxa" w:w="100"/>
              <w:bottom w:type="dxa" w:w="80"/>
              <w:right w:type="dxa" w:w="100"/>
            </w:tcMar>
          </w:tcPr>
          <w:p>
            <w:r>
              <w:rPr>
                <w:b w:val="false"/>
                <w:bCs w:val="false"/>
                <w:sz w:val="18"/>
                <w:szCs w:val="18"/>
              </w:rPr>
              <w:t xml:space="preserve">Pass</w:t>
            </w:r>
          </w:p>
        </w:tc>
      </w:tr>
      <w:tr>
        <w:tc>
          <w:tcPr>
            <w:tcW w:type="dxa" w:w="3000"/>
            <w:tcMar>
              <w:top w:type="dxa" w:w="80"/>
              <w:left w:type="dxa" w:w="100"/>
              <w:bottom w:type="dxa" w:w="80"/>
              <w:right w:type="dxa" w:w="100"/>
            </w:tcMar>
          </w:tcPr>
          <w:p>
            <w:r>
              <w:rPr>
                <w:b w:val="false"/>
                <w:bCs w:val="false"/>
                <w:sz w:val="18"/>
                <w:szCs w:val="18"/>
              </w:rPr>
              <w:t xml:space="preserve">No-Show Rate</w:t>
            </w:r>
          </w:p>
        </w:tc>
        <w:tc>
          <w:tcPr>
            <w:tcW w:type="dxa" w:w="2400"/>
            <w:tcMar>
              <w:top w:type="dxa" w:w="80"/>
              <w:left w:type="dxa" w:w="100"/>
              <w:bottom w:type="dxa" w:w="80"/>
              <w:right w:type="dxa" w:w="100"/>
            </w:tcMar>
          </w:tcPr>
          <w:p>
            <w:r>
              <w:rPr>
                <w:b w:val="false"/>
                <w:bCs w:val="false"/>
                <w:sz w:val="18"/>
                <w:szCs w:val="18"/>
              </w:rPr>
              <w:t xml:space="preserve">48.5%</w:t>
            </w:r>
          </w:p>
        </w:tc>
        <w:tc>
          <w:tcPr>
            <w:tcW w:type="dxa" w:w="2600"/>
            <w:tcMar>
              <w:top w:type="dxa" w:w="80"/>
              <w:left w:type="dxa" w:w="100"/>
              <w:bottom w:type="dxa" w:w="80"/>
              <w:right w:type="dxa" w:w="100"/>
            </w:tcMar>
          </w:tcPr>
          <w:p>
            <w:r>
              <w:rPr>
                <w:b w:val="false"/>
                <w:bCs w:val="false"/>
                <w:sz w:val="18"/>
                <w:szCs w:val="18"/>
              </w:rPr>
              <w:t xml:space="preserve">48.5%</w:t>
            </w:r>
          </w:p>
        </w:tc>
        <w:tc>
          <w:tcPr>
            <w:tcW w:type="dxa" w:w="1700"/>
            <w:tcMar>
              <w:top w:type="dxa" w:w="80"/>
              <w:left w:type="dxa" w:w="100"/>
              <w:bottom w:type="dxa" w:w="80"/>
              <w:right w:type="dxa" w:w="100"/>
            </w:tcMar>
          </w:tcPr>
          <w:p>
            <w:r>
              <w:rPr>
                <w:b w:val="false"/>
                <w:bCs w:val="false"/>
                <w:sz w:val="18"/>
                <w:szCs w:val="18"/>
              </w:rPr>
              <w:t xml:space="preserve">Pass</w:t>
            </w:r>
          </w:p>
        </w:tc>
      </w:tr>
      <w:tr>
        <w:tc>
          <w:tcPr>
            <w:tcW w:type="dxa" w:w="3000"/>
            <w:tcMar>
              <w:top w:type="dxa" w:w="80"/>
              <w:left w:type="dxa" w:w="100"/>
              <w:bottom w:type="dxa" w:w="80"/>
              <w:right w:type="dxa" w:w="100"/>
            </w:tcMar>
          </w:tcPr>
          <w:p>
            <w:r>
              <w:rPr>
                <w:b w:val="false"/>
                <w:bCs w:val="false"/>
                <w:sz w:val="18"/>
                <w:szCs w:val="18"/>
              </w:rPr>
              <w:t xml:space="preserve">Total Attended</w:t>
            </w:r>
          </w:p>
        </w:tc>
        <w:tc>
          <w:tcPr>
            <w:tcW w:type="dxa" w:w="2400"/>
            <w:tcMar>
              <w:top w:type="dxa" w:w="80"/>
              <w:left w:type="dxa" w:w="100"/>
              <w:bottom w:type="dxa" w:w="80"/>
              <w:right w:type="dxa" w:w="100"/>
            </w:tcMar>
          </w:tcPr>
          <w:p>
            <w:r>
              <w:rPr>
                <w:b w:val="false"/>
                <w:bCs w:val="false"/>
                <w:sz w:val="18"/>
                <w:szCs w:val="18"/>
              </w:rPr>
              <w:t xml:space="preserve">2,314</w:t>
            </w:r>
          </w:p>
        </w:tc>
        <w:tc>
          <w:tcPr>
            <w:tcW w:type="dxa" w:w="2600"/>
            <w:tcMar>
              <w:top w:type="dxa" w:w="80"/>
              <w:left w:type="dxa" w:w="100"/>
              <w:bottom w:type="dxa" w:w="80"/>
              <w:right w:type="dxa" w:w="100"/>
            </w:tcMar>
          </w:tcPr>
          <w:p>
            <w:r>
              <w:rPr>
                <w:b w:val="false"/>
                <w:bCs w:val="false"/>
                <w:sz w:val="18"/>
                <w:szCs w:val="18"/>
              </w:rPr>
              <w:t xml:space="preserve">2,314</w:t>
            </w:r>
          </w:p>
        </w:tc>
        <w:tc>
          <w:tcPr>
            <w:tcW w:type="dxa" w:w="1700"/>
            <w:tcMar>
              <w:top w:type="dxa" w:w="80"/>
              <w:left w:type="dxa" w:w="100"/>
              <w:bottom w:type="dxa" w:w="80"/>
              <w:right w:type="dxa" w:w="100"/>
            </w:tcMar>
          </w:tcPr>
          <w:p>
            <w:r>
              <w:rPr>
                <w:b w:val="false"/>
                <w:bCs w:val="false"/>
                <w:sz w:val="18"/>
                <w:szCs w:val="18"/>
              </w:rPr>
              <w:t xml:space="preserve">Pass</w:t>
            </w:r>
          </w:p>
        </w:tc>
      </w:tr>
      <w:tr>
        <w:tc>
          <w:tcPr>
            <w:tcW w:type="dxa" w:w="3000"/>
            <w:tcMar>
              <w:top w:type="dxa" w:w="80"/>
              <w:left w:type="dxa" w:w="100"/>
              <w:bottom w:type="dxa" w:w="80"/>
              <w:right w:type="dxa" w:w="100"/>
            </w:tcMar>
          </w:tcPr>
          <w:p>
            <w:r>
              <w:rPr>
                <w:b w:val="false"/>
                <w:bCs w:val="false"/>
                <w:sz w:val="18"/>
                <w:szCs w:val="18"/>
              </w:rPr>
              <w:t xml:space="preserve">Total Cancelled</w:t>
            </w:r>
          </w:p>
        </w:tc>
        <w:tc>
          <w:tcPr>
            <w:tcW w:type="dxa" w:w="2400"/>
            <w:tcMar>
              <w:top w:type="dxa" w:w="80"/>
              <w:left w:type="dxa" w:w="100"/>
              <w:bottom w:type="dxa" w:w="80"/>
              <w:right w:type="dxa" w:w="100"/>
            </w:tcMar>
          </w:tcPr>
          <w:p>
            <w:r>
              <w:rPr>
                <w:b w:val="false"/>
                <w:bCs w:val="false"/>
                <w:sz w:val="18"/>
                <w:szCs w:val="18"/>
              </w:rPr>
              <w:t xml:space="preserve">263</w:t>
            </w:r>
          </w:p>
        </w:tc>
        <w:tc>
          <w:tcPr>
            <w:tcW w:type="dxa" w:w="2600"/>
            <w:tcMar>
              <w:top w:type="dxa" w:w="80"/>
              <w:left w:type="dxa" w:w="100"/>
              <w:bottom w:type="dxa" w:w="80"/>
              <w:right w:type="dxa" w:w="100"/>
            </w:tcMar>
          </w:tcPr>
          <w:p>
            <w:r>
              <w:rPr>
                <w:b w:val="false"/>
                <w:bCs w:val="false"/>
                <w:sz w:val="18"/>
                <w:szCs w:val="18"/>
              </w:rPr>
              <w:t xml:space="preserve">263</w:t>
            </w:r>
          </w:p>
        </w:tc>
        <w:tc>
          <w:tcPr>
            <w:tcW w:type="dxa" w:w="1700"/>
            <w:tcMar>
              <w:top w:type="dxa" w:w="80"/>
              <w:left w:type="dxa" w:w="100"/>
              <w:bottom w:type="dxa" w:w="80"/>
              <w:right w:type="dxa" w:w="100"/>
            </w:tcMar>
          </w:tcPr>
          <w:p>
            <w:r>
              <w:rPr>
                <w:b w:val="false"/>
                <w:bCs w:val="false"/>
                <w:sz w:val="18"/>
                <w:szCs w:val="18"/>
              </w:rPr>
              <w:t xml:space="preserve">Pass</w:t>
            </w:r>
          </w:p>
        </w:tc>
      </w:tr>
      <w:tr>
        <w:tc>
          <w:tcPr>
            <w:tcW w:type="dxa" w:w="3000"/>
            <w:tcMar>
              <w:top w:type="dxa" w:w="80"/>
              <w:left w:type="dxa" w:w="100"/>
              <w:bottom w:type="dxa" w:w="80"/>
              <w:right w:type="dxa" w:w="100"/>
            </w:tcMar>
          </w:tcPr>
          <w:p>
            <w:r>
              <w:rPr>
                <w:b w:val="false"/>
                <w:bCs w:val="false"/>
                <w:sz w:val="18"/>
                <w:szCs w:val="18"/>
              </w:rPr>
              <w:t xml:space="preserve">Avg Booking Lead Days</w:t>
            </w:r>
          </w:p>
        </w:tc>
        <w:tc>
          <w:tcPr>
            <w:tcW w:type="dxa" w:w="2400"/>
            <w:tcMar>
              <w:top w:type="dxa" w:w="80"/>
              <w:left w:type="dxa" w:w="100"/>
              <w:bottom w:type="dxa" w:w="80"/>
              <w:right w:type="dxa" w:w="100"/>
            </w:tcMar>
          </w:tcPr>
          <w:p>
            <w:r>
              <w:rPr>
                <w:b w:val="false"/>
                <w:bCs w:val="false"/>
                <w:sz w:val="18"/>
                <w:szCs w:val="18"/>
              </w:rPr>
              <w:t xml:space="preserve">29.64</w:t>
            </w:r>
          </w:p>
        </w:tc>
        <w:tc>
          <w:tcPr>
            <w:tcW w:type="dxa" w:w="2600"/>
            <w:tcMar>
              <w:top w:type="dxa" w:w="80"/>
              <w:left w:type="dxa" w:w="100"/>
              <w:bottom w:type="dxa" w:w="80"/>
              <w:right w:type="dxa" w:w="100"/>
            </w:tcMar>
          </w:tcPr>
          <w:p>
            <w:r>
              <w:rPr>
                <w:b w:val="false"/>
                <w:bCs w:val="false"/>
                <w:sz w:val="18"/>
                <w:szCs w:val="18"/>
              </w:rPr>
              <w:t xml:space="preserve">29.64</w:t>
            </w:r>
          </w:p>
        </w:tc>
        <w:tc>
          <w:tcPr>
            <w:tcW w:type="dxa" w:w="1700"/>
            <w:tcMar>
              <w:top w:type="dxa" w:w="80"/>
              <w:left w:type="dxa" w:w="100"/>
              <w:bottom w:type="dxa" w:w="80"/>
              <w:right w:type="dxa" w:w="100"/>
            </w:tcMar>
          </w:tcPr>
          <w:p>
            <w:r>
              <w:rPr>
                <w:b w:val="false"/>
                <w:bCs w:val="false"/>
                <w:sz w:val="18"/>
                <w:szCs w:val="18"/>
              </w:rPr>
              <w:t xml:space="preserve">Pass</w:t>
            </w:r>
          </w:p>
        </w:tc>
      </w:tr>
      <w:tr>
        <w:tc>
          <w:tcPr>
            <w:tcW w:type="dxa" w:w="3000"/>
            <w:tcMar>
              <w:top w:type="dxa" w:w="80"/>
              <w:left w:type="dxa" w:w="100"/>
              <w:bottom w:type="dxa" w:w="80"/>
              <w:right w:type="dxa" w:w="100"/>
            </w:tcMar>
          </w:tcPr>
          <w:p>
            <w:r>
              <w:rPr>
                <w:b w:val="false"/>
                <w:bCs w:val="false"/>
                <w:sz w:val="18"/>
                <w:szCs w:val="18"/>
              </w:rPr>
              <w:t xml:space="preserve">Avg Distance to Clinic</w:t>
            </w:r>
          </w:p>
        </w:tc>
        <w:tc>
          <w:tcPr>
            <w:tcW w:type="dxa" w:w="2400"/>
            <w:tcMar>
              <w:top w:type="dxa" w:w="80"/>
              <w:left w:type="dxa" w:w="100"/>
              <w:bottom w:type="dxa" w:w="80"/>
              <w:right w:type="dxa" w:w="100"/>
            </w:tcMar>
          </w:tcPr>
          <w:p>
            <w:r>
              <w:rPr>
                <w:b w:val="false"/>
                <w:bCs w:val="false"/>
                <w:sz w:val="18"/>
                <w:szCs w:val="18"/>
              </w:rPr>
              <w:t xml:space="preserve">10.08</w:t>
            </w:r>
          </w:p>
        </w:tc>
        <w:tc>
          <w:tcPr>
            <w:tcW w:type="dxa" w:w="2600"/>
            <w:tcMar>
              <w:top w:type="dxa" w:w="80"/>
              <w:left w:type="dxa" w:w="100"/>
              <w:bottom w:type="dxa" w:w="80"/>
              <w:right w:type="dxa" w:w="100"/>
            </w:tcMar>
          </w:tcPr>
          <w:p>
            <w:r>
              <w:rPr>
                <w:b w:val="false"/>
                <w:bCs w:val="false"/>
                <w:sz w:val="18"/>
                <w:szCs w:val="18"/>
              </w:rPr>
              <w:t xml:space="preserve">10.08</w:t>
            </w:r>
          </w:p>
        </w:tc>
        <w:tc>
          <w:tcPr>
            <w:tcW w:type="dxa" w:w="1700"/>
            <w:tcMar>
              <w:top w:type="dxa" w:w="80"/>
              <w:left w:type="dxa" w:w="100"/>
              <w:bottom w:type="dxa" w:w="80"/>
              <w:right w:type="dxa" w:w="100"/>
            </w:tcMar>
          </w:tcPr>
          <w:p>
            <w:r>
              <w:rPr>
                <w:b w:val="false"/>
                <w:bCs w:val="false"/>
                <w:sz w:val="18"/>
                <w:szCs w:val="18"/>
              </w:rPr>
              <w:t xml:space="preserve">Pass</w:t>
            </w:r>
          </w:p>
        </w:tc>
      </w:tr>
    </w:tbl>
    <w:p>
      <w:pPr>
        <w:spacing w:after="160"/>
      </w:pPr>
      <w:r>
        <w:t xml:space="preserve">All six matched exactly, so my top KPI row is solid.</w:t>
      </w:r>
    </w:p>
    <w:p>
      <w:pPr>
        <w:pStyle w:val="Heading2"/>
        <w:spacing w:after="120" w:before="240"/>
      </w:pPr>
      <w:r>
        <w:t xml:space="preserve">3.2 Chart Breakdown Verification, and an Issue I Found</w:t>
      </w:r>
    </w:p>
    <w:p>
      <w:pPr>
        <w:spacing w:after="160"/>
      </w:pPr>
      <w:r>
        <w:t xml:space="preserve">Next I checked my four breakdown charts (Lead Time Band, Distance Band, Reminder Status, Prior No-Show History) against the raw data. Three matched immediately. The Distance Band chart didn't, at first.</w:t>
      </w:r>
    </w:p>
    <w:p>
      <w:pPr>
        <w:spacing w:after="160"/>
      </w:pPr>
      <w:r>
        <w:t xml:space="preserve">My dashboard shows 46.4% for the under-5km group, but when I recalculated it, I got 46.5%. Small gap, but I wanted to know why rather than just wave it off.</w:t>
      </w:r>
    </w:p>
    <w:p>
      <w:pPr>
        <w:spacing w:after="160"/>
      </w:pPr>
      <w:r>
        <w:t xml:space="preserve">It came down to how I'd grouped patients sitting at exactly 5.0km. Back in Week 5, my exploratory Python analysis grouped anyone at exactly 5.0km into the under-5km bucket. But the actual formula I built in Power BI does the opposite, it only counts strictly less than 5km, and puts exactly 5.0km into the 5 to 15km group. There are 44 patients sitting right at that exact boundary, which was enough to shift the number slightly.</w:t>
      </w:r>
    </w:p>
    <w:p>
      <w:pPr>
        <w:spacing w:after="160"/>
      </w:pPr>
      <w:r>
        <w:t xml:space="preserve">Once I recalculated using the same rule my dashboard actually applies, the numbers lined up exactly: 46.4%, 47.5%, 54.1%. So the dashboard was correct the whole time, it was my earlier documentation that used a slightly different definition of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150"/>
        <w:gridCol w:w="1150"/>
        <w:gridCol w:w="700"/>
        <w:gridCol w:w="1600"/>
        <w:gridCol w:w="1600"/>
        <w:gridCol w:w="1410"/>
      </w:tblGrid>
      <w:tr>
        <w:trPr>
          <w:tblHeader/>
        </w:trPr>
        <w:tc>
          <w:tcPr>
            <w:tcW w:type="dxa" w:w="1750"/>
            <w:shd w:fill="D9EFEC" w:val="clear"/>
            <w:tcMar>
              <w:top w:type="dxa" w:w="80"/>
              <w:left w:type="dxa" w:w="100"/>
              <w:bottom w:type="dxa" w:w="80"/>
              <w:right w:type="dxa" w:w="100"/>
            </w:tcMar>
          </w:tcPr>
          <w:p>
            <w:r>
              <w:rPr>
                <w:b/>
                <w:bCs/>
                <w:sz w:val="18"/>
                <w:szCs w:val="18"/>
              </w:rPr>
              <w:t xml:space="preserve">Test/Scenario</w:t>
            </w:r>
          </w:p>
        </w:tc>
        <w:tc>
          <w:tcPr>
            <w:tcW w:type="dxa" w:w="1150"/>
            <w:shd w:fill="D9EFEC" w:val="clear"/>
            <w:tcMar>
              <w:top w:type="dxa" w:w="80"/>
              <w:left w:type="dxa" w:w="100"/>
              <w:bottom w:type="dxa" w:w="80"/>
              <w:right w:type="dxa" w:w="100"/>
            </w:tcMar>
          </w:tcPr>
          <w:p>
            <w:r>
              <w:rPr>
                <w:b/>
                <w:bCs/>
                <w:sz w:val="18"/>
                <w:szCs w:val="18"/>
              </w:rPr>
              <w:t xml:space="preserve">Expected Result</w:t>
            </w:r>
          </w:p>
        </w:tc>
        <w:tc>
          <w:tcPr>
            <w:tcW w:type="dxa" w:w="1150"/>
            <w:shd w:fill="D9EFEC" w:val="clear"/>
            <w:tcMar>
              <w:top w:type="dxa" w:w="80"/>
              <w:left w:type="dxa" w:w="100"/>
              <w:bottom w:type="dxa" w:w="80"/>
              <w:right w:type="dxa" w:w="100"/>
            </w:tcMar>
          </w:tcPr>
          <w:p>
            <w:r>
              <w:rPr>
                <w:b/>
                <w:bCs/>
                <w:sz w:val="18"/>
                <w:szCs w:val="18"/>
              </w:rPr>
              <w:t xml:space="preserve">Actual Result</w:t>
            </w:r>
          </w:p>
        </w:tc>
        <w:tc>
          <w:tcPr>
            <w:tcW w:type="dxa" w:w="700"/>
            <w:shd w:fill="D9EFEC" w:val="clear"/>
            <w:tcMar>
              <w:top w:type="dxa" w:w="80"/>
              <w:left w:type="dxa" w:w="100"/>
              <w:bottom w:type="dxa" w:w="80"/>
              <w:right w:type="dxa" w:w="100"/>
            </w:tcMar>
          </w:tcPr>
          <w:p>
            <w:r>
              <w:rPr>
                <w:b/>
                <w:bCs/>
                <w:sz w:val="18"/>
                <w:szCs w:val="18"/>
              </w:rPr>
              <w:t xml:space="preserve">Pass/Fail</w:t>
            </w:r>
          </w:p>
        </w:tc>
        <w:tc>
          <w:tcPr>
            <w:tcW w:type="dxa" w:w="1600"/>
            <w:shd w:fill="D9EFEC" w:val="clear"/>
            <w:tcMar>
              <w:top w:type="dxa" w:w="80"/>
              <w:left w:type="dxa" w:w="100"/>
              <w:bottom w:type="dxa" w:w="80"/>
              <w:right w:type="dxa" w:w="100"/>
            </w:tcMar>
          </w:tcPr>
          <w:p>
            <w:r>
              <w:rPr>
                <w:b/>
                <w:bCs/>
                <w:sz w:val="18"/>
                <w:szCs w:val="18"/>
              </w:rPr>
              <w:t xml:space="preserve">Issue Identified</w:t>
            </w:r>
          </w:p>
        </w:tc>
        <w:tc>
          <w:tcPr>
            <w:tcW w:type="dxa" w:w="1600"/>
            <w:shd w:fill="D9EFEC" w:val="clear"/>
            <w:tcMar>
              <w:top w:type="dxa" w:w="80"/>
              <w:left w:type="dxa" w:w="100"/>
              <w:bottom w:type="dxa" w:w="80"/>
              <w:right w:type="dxa" w:w="100"/>
            </w:tcMar>
          </w:tcPr>
          <w:p>
            <w:r>
              <w:rPr>
                <w:b/>
                <w:bCs/>
                <w:sz w:val="18"/>
                <w:szCs w:val="18"/>
              </w:rPr>
              <w:t xml:space="preserve">Action Taken</w:t>
            </w:r>
          </w:p>
        </w:tc>
        <w:tc>
          <w:tcPr>
            <w:tcW w:type="dxa" w:w="1410"/>
            <w:shd w:fill="D9EFEC" w:val="clear"/>
            <w:tcMar>
              <w:top w:type="dxa" w:w="80"/>
              <w:left w:type="dxa" w:w="100"/>
              <w:bottom w:type="dxa" w:w="80"/>
              <w:right w:type="dxa" w:w="100"/>
            </w:tcMar>
          </w:tcPr>
          <w:p>
            <w:r>
              <w:rPr>
                <w:b/>
                <w:bCs/>
                <w:sz w:val="18"/>
                <w:szCs w:val="18"/>
              </w:rPr>
              <w:t xml:space="preserve">Retest Result</w:t>
            </w:r>
          </w:p>
        </w:tc>
      </w:tr>
      <w:tr>
        <w:tc>
          <w:tcPr>
            <w:tcW w:type="dxa" w:w="1750"/>
            <w:tcMar>
              <w:top w:type="dxa" w:w="80"/>
              <w:left w:type="dxa" w:w="100"/>
              <w:bottom w:type="dxa" w:w="80"/>
              <w:right w:type="dxa" w:w="100"/>
            </w:tcMar>
          </w:tcPr>
          <w:p>
            <w:r>
              <w:rPr>
                <w:b w:val="false"/>
                <w:bCs w:val="false"/>
                <w:sz w:val="18"/>
                <w:szCs w:val="18"/>
              </w:rPr>
              <w:t xml:space="preserve">Lead Time Band matches dashboard</w:t>
            </w:r>
          </w:p>
        </w:tc>
        <w:tc>
          <w:tcPr>
            <w:tcW w:type="dxa" w:w="1150"/>
            <w:tcMar>
              <w:top w:type="dxa" w:w="80"/>
              <w:left w:type="dxa" w:w="100"/>
              <w:bottom w:type="dxa" w:w="80"/>
              <w:right w:type="dxa" w:w="100"/>
            </w:tcMar>
          </w:tcPr>
          <w:p>
            <w:r>
              <w:rPr>
                <w:b w:val="false"/>
                <w:bCs w:val="false"/>
                <w:sz w:val="18"/>
                <w:szCs w:val="18"/>
              </w:rPr>
              <w:t xml:space="preserve">24.8/32.6/43.2/60.5%</w:t>
            </w:r>
          </w:p>
        </w:tc>
        <w:tc>
          <w:tcPr>
            <w:tcW w:type="dxa" w:w="1150"/>
            <w:tcMar>
              <w:top w:type="dxa" w:w="80"/>
              <w:left w:type="dxa" w:w="100"/>
              <w:bottom w:type="dxa" w:w="80"/>
              <w:right w:type="dxa" w:w="100"/>
            </w:tcMar>
          </w:tcPr>
          <w:p>
            <w:r>
              <w:rPr>
                <w:b w:val="false"/>
                <w:bCs w:val="false"/>
                <w:sz w:val="18"/>
                <w:szCs w:val="18"/>
              </w:rPr>
              <w:t xml:space="preserve">Matched exactly</w:t>
            </w:r>
          </w:p>
        </w:tc>
        <w:tc>
          <w:tcPr>
            <w:tcW w:type="dxa" w:w="700"/>
            <w:tcMar>
              <w:top w:type="dxa" w:w="80"/>
              <w:left w:type="dxa" w:w="100"/>
              <w:bottom w:type="dxa" w:w="80"/>
              <w:right w:type="dxa" w:w="100"/>
            </w:tcMar>
          </w:tcPr>
          <w:p>
            <w:r>
              <w:rPr>
                <w:b w:val="false"/>
                <w:bCs w:val="false"/>
                <w:sz w:val="18"/>
                <w:szCs w:val="18"/>
              </w:rPr>
              <w:t xml:space="preserve">Pass</w:t>
            </w:r>
          </w:p>
        </w:tc>
        <w:tc>
          <w:tcPr>
            <w:tcW w:type="dxa" w:w="1600"/>
            <w:tcMar>
              <w:top w:type="dxa" w:w="80"/>
              <w:left w:type="dxa" w:w="100"/>
              <w:bottom w:type="dxa" w:w="80"/>
              <w:right w:type="dxa" w:w="100"/>
            </w:tcMar>
          </w:tcPr>
          <w:p>
            <w:r>
              <w:rPr>
                <w:b w:val="false"/>
                <w:bCs w:val="false"/>
                <w:sz w:val="18"/>
                <w:szCs w:val="18"/>
              </w:rPr>
              <w:t xml:space="preserve">None</w:t>
            </w:r>
          </w:p>
        </w:tc>
        <w:tc>
          <w:tcPr>
            <w:tcW w:type="dxa" w:w="1600"/>
            <w:tcMar>
              <w:top w:type="dxa" w:w="80"/>
              <w:left w:type="dxa" w:w="100"/>
              <w:bottom w:type="dxa" w:w="80"/>
              <w:right w:type="dxa" w:w="100"/>
            </w:tcMar>
          </w:tcPr>
          <w:p>
            <w:r>
              <w:rPr>
                <w:b w:val="false"/>
                <w:bCs w:val="false"/>
                <w:sz w:val="18"/>
                <w:szCs w:val="18"/>
              </w:rPr>
              <w:t xml:space="preserve">None</w:t>
            </w:r>
          </w:p>
        </w:tc>
        <w:tc>
          <w:tcPr>
            <w:tcW w:type="dxa" w:w="1410"/>
            <w:tcMar>
              <w:top w:type="dxa" w:w="80"/>
              <w:left w:type="dxa" w:w="100"/>
              <w:bottom w:type="dxa" w:w="80"/>
              <w:right w:type="dxa" w:w="100"/>
            </w:tcMar>
          </w:tcPr>
          <w:p>
            <w:r>
              <w:rPr>
                <w:b w:val="false"/>
                <w:bCs w:val="false"/>
                <w:sz w:val="18"/>
                <w:szCs w:val="18"/>
              </w:rPr>
              <w:t xml:space="preserve">N/A</w:t>
            </w:r>
          </w:p>
        </w:tc>
      </w:tr>
      <w:tr>
        <w:tc>
          <w:tcPr>
            <w:tcW w:type="dxa" w:w="1750"/>
            <w:tcMar>
              <w:top w:type="dxa" w:w="80"/>
              <w:left w:type="dxa" w:w="100"/>
              <w:bottom w:type="dxa" w:w="80"/>
              <w:right w:type="dxa" w:w="100"/>
            </w:tcMar>
          </w:tcPr>
          <w:p>
            <w:r>
              <w:rPr>
                <w:b w:val="false"/>
                <w:bCs w:val="false"/>
                <w:sz w:val="18"/>
                <w:szCs w:val="18"/>
              </w:rPr>
              <w:t xml:space="preserve">Distance Band matches dashboard</w:t>
            </w:r>
          </w:p>
        </w:tc>
        <w:tc>
          <w:tcPr>
            <w:tcW w:type="dxa" w:w="1150"/>
            <w:tcMar>
              <w:top w:type="dxa" w:w="80"/>
              <w:left w:type="dxa" w:w="100"/>
              <w:bottom w:type="dxa" w:w="80"/>
              <w:right w:type="dxa" w:w="100"/>
            </w:tcMar>
          </w:tcPr>
          <w:p>
            <w:r>
              <w:rPr>
                <w:b w:val="false"/>
                <w:bCs w:val="false"/>
                <w:sz w:val="18"/>
                <w:szCs w:val="18"/>
              </w:rPr>
              <w:t xml:space="preserve">46.4/47.5/54.1%</w:t>
            </w:r>
          </w:p>
        </w:tc>
        <w:tc>
          <w:tcPr>
            <w:tcW w:type="dxa" w:w="1150"/>
            <w:tcMar>
              <w:top w:type="dxa" w:w="80"/>
              <w:left w:type="dxa" w:w="100"/>
              <w:bottom w:type="dxa" w:w="80"/>
              <w:right w:type="dxa" w:w="100"/>
            </w:tcMar>
          </w:tcPr>
          <w:p>
            <w:r>
              <w:rPr>
                <w:b w:val="false"/>
                <w:bCs w:val="false"/>
                <w:sz w:val="18"/>
                <w:szCs w:val="18"/>
              </w:rPr>
              <w:t xml:space="preserve">46.5/47.5/54.1%</w:t>
            </w:r>
          </w:p>
        </w:tc>
        <w:tc>
          <w:tcPr>
            <w:tcW w:type="dxa" w:w="700"/>
            <w:tcMar>
              <w:top w:type="dxa" w:w="80"/>
              <w:left w:type="dxa" w:w="100"/>
              <w:bottom w:type="dxa" w:w="80"/>
              <w:right w:type="dxa" w:w="100"/>
            </w:tcMar>
          </w:tcPr>
          <w:p>
            <w:r>
              <w:rPr>
                <w:b w:val="false"/>
                <w:bCs w:val="false"/>
                <w:sz w:val="18"/>
                <w:szCs w:val="18"/>
              </w:rPr>
              <w:t xml:space="preserve">Fail</w:t>
            </w:r>
          </w:p>
        </w:tc>
        <w:tc>
          <w:tcPr>
            <w:tcW w:type="dxa" w:w="1600"/>
            <w:tcMar>
              <w:top w:type="dxa" w:w="80"/>
              <w:left w:type="dxa" w:w="100"/>
              <w:bottom w:type="dxa" w:w="80"/>
              <w:right w:type="dxa" w:w="100"/>
            </w:tcMar>
          </w:tcPr>
          <w:p>
            <w:r>
              <w:rPr>
                <w:b w:val="false"/>
                <w:bCs w:val="false"/>
                <w:sz w:val="18"/>
                <w:szCs w:val="18"/>
              </w:rPr>
              <w:t xml:space="preserve">5.0km boundary grouped differently between Week 5 documentation and the actual Power BI formula</w:t>
            </w:r>
          </w:p>
        </w:tc>
        <w:tc>
          <w:tcPr>
            <w:tcW w:type="dxa" w:w="1600"/>
            <w:tcMar>
              <w:top w:type="dxa" w:w="80"/>
              <w:left w:type="dxa" w:w="100"/>
              <w:bottom w:type="dxa" w:w="80"/>
              <w:right w:type="dxa" w:w="100"/>
            </w:tcMar>
          </w:tcPr>
          <w:p>
            <w:r>
              <w:rPr>
                <w:b w:val="false"/>
                <w:bCs w:val="false"/>
                <w:sz w:val="18"/>
                <w:szCs w:val="18"/>
              </w:rPr>
              <w:t xml:space="preserve">Recalculated using the exact boundary rule from the dashboard's formula</w:t>
            </w:r>
          </w:p>
        </w:tc>
        <w:tc>
          <w:tcPr>
            <w:tcW w:type="dxa" w:w="1410"/>
            <w:tcMar>
              <w:top w:type="dxa" w:w="80"/>
              <w:left w:type="dxa" w:w="100"/>
              <w:bottom w:type="dxa" w:w="80"/>
              <w:right w:type="dxa" w:w="100"/>
            </w:tcMar>
          </w:tcPr>
          <w:p>
            <w:r>
              <w:rPr>
                <w:b w:val="false"/>
                <w:bCs w:val="false"/>
                <w:sz w:val="18"/>
                <w:szCs w:val="18"/>
              </w:rPr>
              <w:t xml:space="preserve">46.4/47.5/54.1%, now matches exactly, Pass</w:t>
            </w:r>
          </w:p>
        </w:tc>
      </w:tr>
      <w:tr>
        <w:tc>
          <w:tcPr>
            <w:tcW w:type="dxa" w:w="1750"/>
            <w:tcMar>
              <w:top w:type="dxa" w:w="80"/>
              <w:left w:type="dxa" w:w="100"/>
              <w:bottom w:type="dxa" w:w="80"/>
              <w:right w:type="dxa" w:w="100"/>
            </w:tcMar>
          </w:tcPr>
          <w:p>
            <w:r>
              <w:rPr>
                <w:b w:val="false"/>
                <w:bCs w:val="false"/>
                <w:sz w:val="18"/>
                <w:szCs w:val="18"/>
              </w:rPr>
              <w:t xml:space="preserve">Reminder Status matches dashboard</w:t>
            </w:r>
          </w:p>
        </w:tc>
        <w:tc>
          <w:tcPr>
            <w:tcW w:type="dxa" w:w="1150"/>
            <w:tcMar>
              <w:top w:type="dxa" w:w="80"/>
              <w:left w:type="dxa" w:w="100"/>
              <w:bottom w:type="dxa" w:w="80"/>
              <w:right w:type="dxa" w:w="100"/>
            </w:tcMar>
          </w:tcPr>
          <w:p>
            <w:r>
              <w:rPr>
                <w:b w:val="false"/>
                <w:bCs w:val="false"/>
                <w:sz w:val="18"/>
                <w:szCs w:val="18"/>
              </w:rPr>
              <w:t xml:space="preserve">51.4/47.4%</w:t>
            </w:r>
          </w:p>
        </w:tc>
        <w:tc>
          <w:tcPr>
            <w:tcW w:type="dxa" w:w="1150"/>
            <w:tcMar>
              <w:top w:type="dxa" w:w="80"/>
              <w:left w:type="dxa" w:w="100"/>
              <w:bottom w:type="dxa" w:w="80"/>
              <w:right w:type="dxa" w:w="100"/>
            </w:tcMar>
          </w:tcPr>
          <w:p>
            <w:r>
              <w:rPr>
                <w:b w:val="false"/>
                <w:bCs w:val="false"/>
                <w:sz w:val="18"/>
                <w:szCs w:val="18"/>
              </w:rPr>
              <w:t xml:space="preserve">Matched exactly</w:t>
            </w:r>
          </w:p>
        </w:tc>
        <w:tc>
          <w:tcPr>
            <w:tcW w:type="dxa" w:w="700"/>
            <w:tcMar>
              <w:top w:type="dxa" w:w="80"/>
              <w:left w:type="dxa" w:w="100"/>
              <w:bottom w:type="dxa" w:w="80"/>
              <w:right w:type="dxa" w:w="100"/>
            </w:tcMar>
          </w:tcPr>
          <w:p>
            <w:r>
              <w:rPr>
                <w:b w:val="false"/>
                <w:bCs w:val="false"/>
                <w:sz w:val="18"/>
                <w:szCs w:val="18"/>
              </w:rPr>
              <w:t xml:space="preserve">Pass</w:t>
            </w:r>
          </w:p>
        </w:tc>
        <w:tc>
          <w:tcPr>
            <w:tcW w:type="dxa" w:w="1600"/>
            <w:tcMar>
              <w:top w:type="dxa" w:w="80"/>
              <w:left w:type="dxa" w:w="100"/>
              <w:bottom w:type="dxa" w:w="80"/>
              <w:right w:type="dxa" w:w="100"/>
            </w:tcMar>
          </w:tcPr>
          <w:p>
            <w:r>
              <w:rPr>
                <w:b w:val="false"/>
                <w:bCs w:val="false"/>
                <w:sz w:val="18"/>
                <w:szCs w:val="18"/>
              </w:rPr>
              <w:t xml:space="preserve">None</w:t>
            </w:r>
          </w:p>
        </w:tc>
        <w:tc>
          <w:tcPr>
            <w:tcW w:type="dxa" w:w="1600"/>
            <w:tcMar>
              <w:top w:type="dxa" w:w="80"/>
              <w:left w:type="dxa" w:w="100"/>
              <w:bottom w:type="dxa" w:w="80"/>
              <w:right w:type="dxa" w:w="100"/>
            </w:tcMar>
          </w:tcPr>
          <w:p>
            <w:r>
              <w:rPr>
                <w:b w:val="false"/>
                <w:bCs w:val="false"/>
                <w:sz w:val="18"/>
                <w:szCs w:val="18"/>
              </w:rPr>
              <w:t xml:space="preserve">None</w:t>
            </w:r>
          </w:p>
        </w:tc>
        <w:tc>
          <w:tcPr>
            <w:tcW w:type="dxa" w:w="1410"/>
            <w:tcMar>
              <w:top w:type="dxa" w:w="80"/>
              <w:left w:type="dxa" w:w="100"/>
              <w:bottom w:type="dxa" w:w="80"/>
              <w:right w:type="dxa" w:w="100"/>
            </w:tcMar>
          </w:tcPr>
          <w:p>
            <w:r>
              <w:rPr>
                <w:b w:val="false"/>
                <w:bCs w:val="false"/>
                <w:sz w:val="18"/>
                <w:szCs w:val="18"/>
              </w:rPr>
              <w:t xml:space="preserve">N/A</w:t>
            </w:r>
          </w:p>
        </w:tc>
      </w:tr>
      <w:tr>
        <w:tc>
          <w:tcPr>
            <w:tcW w:type="dxa" w:w="1750"/>
            <w:tcMar>
              <w:top w:type="dxa" w:w="80"/>
              <w:left w:type="dxa" w:w="100"/>
              <w:bottom w:type="dxa" w:w="80"/>
              <w:right w:type="dxa" w:w="100"/>
            </w:tcMar>
          </w:tcPr>
          <w:p>
            <w:r>
              <w:rPr>
                <w:b w:val="false"/>
                <w:bCs w:val="false"/>
                <w:sz w:val="18"/>
                <w:szCs w:val="18"/>
              </w:rPr>
              <w:t xml:space="preserve">Prior No-Show History matches dashboard</w:t>
            </w:r>
          </w:p>
        </w:tc>
        <w:tc>
          <w:tcPr>
            <w:tcW w:type="dxa" w:w="1150"/>
            <w:tcMar>
              <w:top w:type="dxa" w:w="80"/>
              <w:left w:type="dxa" w:w="100"/>
              <w:bottom w:type="dxa" w:w="80"/>
              <w:right w:type="dxa" w:w="100"/>
            </w:tcMar>
          </w:tcPr>
          <w:p>
            <w:r>
              <w:rPr>
                <w:b w:val="false"/>
                <w:bCs w:val="false"/>
                <w:sz w:val="18"/>
                <w:szCs w:val="18"/>
              </w:rPr>
              <w:t xml:space="preserve">43.5/55.4%</w:t>
            </w:r>
          </w:p>
        </w:tc>
        <w:tc>
          <w:tcPr>
            <w:tcW w:type="dxa" w:w="1150"/>
            <w:tcMar>
              <w:top w:type="dxa" w:w="80"/>
              <w:left w:type="dxa" w:w="100"/>
              <w:bottom w:type="dxa" w:w="80"/>
              <w:right w:type="dxa" w:w="100"/>
            </w:tcMar>
          </w:tcPr>
          <w:p>
            <w:r>
              <w:rPr>
                <w:b w:val="false"/>
                <w:bCs w:val="false"/>
                <w:sz w:val="18"/>
                <w:szCs w:val="18"/>
              </w:rPr>
              <w:t xml:space="preserve">Matched exactly</w:t>
            </w:r>
          </w:p>
        </w:tc>
        <w:tc>
          <w:tcPr>
            <w:tcW w:type="dxa" w:w="700"/>
            <w:tcMar>
              <w:top w:type="dxa" w:w="80"/>
              <w:left w:type="dxa" w:w="100"/>
              <w:bottom w:type="dxa" w:w="80"/>
              <w:right w:type="dxa" w:w="100"/>
            </w:tcMar>
          </w:tcPr>
          <w:p>
            <w:r>
              <w:rPr>
                <w:b w:val="false"/>
                <w:bCs w:val="false"/>
                <w:sz w:val="18"/>
                <w:szCs w:val="18"/>
              </w:rPr>
              <w:t xml:space="preserve">Pass</w:t>
            </w:r>
          </w:p>
        </w:tc>
        <w:tc>
          <w:tcPr>
            <w:tcW w:type="dxa" w:w="1600"/>
            <w:tcMar>
              <w:top w:type="dxa" w:w="80"/>
              <w:left w:type="dxa" w:w="100"/>
              <w:bottom w:type="dxa" w:w="80"/>
              <w:right w:type="dxa" w:w="100"/>
            </w:tcMar>
          </w:tcPr>
          <w:p>
            <w:r>
              <w:rPr>
                <w:b w:val="false"/>
                <w:bCs w:val="false"/>
                <w:sz w:val="18"/>
                <w:szCs w:val="18"/>
              </w:rPr>
              <w:t xml:space="preserve">None</w:t>
            </w:r>
          </w:p>
        </w:tc>
        <w:tc>
          <w:tcPr>
            <w:tcW w:type="dxa" w:w="1600"/>
            <w:tcMar>
              <w:top w:type="dxa" w:w="80"/>
              <w:left w:type="dxa" w:w="100"/>
              <w:bottom w:type="dxa" w:w="80"/>
              <w:right w:type="dxa" w:w="100"/>
            </w:tcMar>
          </w:tcPr>
          <w:p>
            <w:r>
              <w:rPr>
                <w:b w:val="false"/>
                <w:bCs w:val="false"/>
                <w:sz w:val="18"/>
                <w:szCs w:val="18"/>
              </w:rPr>
              <w:t xml:space="preserve">None</w:t>
            </w:r>
          </w:p>
        </w:tc>
        <w:tc>
          <w:tcPr>
            <w:tcW w:type="dxa" w:w="1410"/>
            <w:tcMar>
              <w:top w:type="dxa" w:w="80"/>
              <w:left w:type="dxa" w:w="100"/>
              <w:bottom w:type="dxa" w:w="80"/>
              <w:right w:type="dxa" w:w="100"/>
            </w:tcMar>
          </w:tcPr>
          <w:p>
            <w:r>
              <w:rPr>
                <w:b w:val="false"/>
                <w:bCs w:val="false"/>
                <w:sz w:val="18"/>
                <w:szCs w:val="18"/>
              </w:rPr>
              <w:t xml:space="preserve">N/A</w:t>
            </w:r>
          </w:p>
        </w:tc>
      </w:tr>
    </w:tbl>
    <w:p>
      <w:pPr>
        <w:pStyle w:val="Heading2"/>
        <w:spacing w:after="120" w:before="240"/>
      </w:pPr>
      <w:r>
        <w:t xml:space="preserve">3.3 Statistically Testing the Compounding Risk Finding</w:t>
      </w:r>
    </w:p>
    <w:p>
      <w:pPr>
        <w:spacing w:after="160"/>
      </w:pPr>
      <w:r>
        <w:t xml:space="preserve">My Week 6 finding was that lead time and prior no-show history compound when combined. That looked convincing on a chart, but a chart alone doesn't prove the relationship is real rather than coincidence. So I ran a chi-square test on both factors individually against the no-show outcome, to check whether the relationship is statistically meaningful.</w:t>
      </w:r>
    </w:p>
    <w:p>
      <w:pPr>
        <w:pStyle w:val="ListParagraph"/>
        <w:numPr>
          <w:ilvl w:val="0"/>
          <w:numId w:val="2"/>
        </w:numPr>
        <w:spacing w:after="80"/>
      </w:pPr>
      <w:r>
        <w:rPr>
          <w:b/>
          <w:bCs/>
        </w:rPr>
        <w:t xml:space="preserve">Booking Lead Time vs No-Show: </w:t>
      </w:r>
      <w:r>
        <w:t xml:space="preserve">chi-square = 319.69, p-value below 0.001. This is a very strong result, there is essentially no realistic chance this pattern is due to random variation.</w:t>
      </w:r>
    </w:p>
    <w:p>
      <w:pPr>
        <w:pStyle w:val="ListParagraph"/>
        <w:numPr>
          <w:ilvl w:val="0"/>
          <w:numId w:val="2"/>
        </w:numPr>
        <w:spacing w:after="80"/>
      </w:pPr>
      <w:r>
        <w:rPr>
          <w:b/>
          <w:bCs/>
        </w:rPr>
        <w:t xml:space="preserve">Prior No-Show History vs No-Show: </w:t>
      </w:r>
      <w:r>
        <w:t xml:space="preserve">chi-square = 68.37, p-value below 0.001. Also highly significant.</w:t>
      </w:r>
    </w:p>
    <w:p>
      <w:pPr>
        <w:spacing w:after="160"/>
      </w:pPr>
      <w:r>
        <w:t xml:space="preserve">I also rechecked my highest-risk segment (31+ day lead time, 1 or more prior no-shows, 15km or more from the clinic) directly against the raw data, and it still comes out to 73.2% across 179 appointments, exactly matching what I reported in Week 6. So that finding holds.</w:t>
      </w:r>
    </w:p>
    <w:p>
      <w:pPr>
        <w:spacing w:after="160"/>
      </w:pPr>
      <w:r>
        <w:rPr>
          <w:i/>
          <w:iCs/>
        </w:rPr>
        <w:t xml:space="preserve">One thing I refined here: when I broke my lowest-risk segment down further by distance as well, the very safest sub-group (0 to 3 day lead time, no prior no-shows, and 15km or more away) actually came out at 13.3%, even lower than the 17.1% I reported at the two-factor level. That group is small though, only 30 appointments, so I'm treating it as a useful signal to keep an eye on rather than a fully confirmed number, and I'm keeping 17.1% as my headline lowest-risk figure since it's backed by a much bigger sample.</w:t>
      </w:r>
    </w:p>
    <w:p>
      <w:pPr>
        <w:pStyle w:val="Heading1"/>
        <w:spacing w:after="150" w:before="300"/>
      </w:pPr>
      <w:r>
        <w:t xml:space="preserve">4. Dashboard Refinement</w:t>
      </w:r>
    </w:p>
    <w:p>
      <w:pPr>
        <w:spacing w:after="160"/>
      </w:pPr>
      <w:r>
        <w:t xml:space="preserve">Since testing confirmed my chart logic was already correct, I didn't need to rebuild anything on the dashboard itself. What I did change was my own written documentation of the distance band boundaries, correcting it to match the actual Power BI formula, so future weeks don't repeat the same small inconsistency.</w:t>
      </w:r>
    </w:p>
    <w:p>
      <w:pPr>
        <w:spacing w:after="160"/>
      </w:pPr>
      <w:r>
        <w:t xml:space="preserve">I also added a note directly onto my risk matrix visual clarifying that the compounding pattern shown there is statistically significant, not just a visual trend, so anyone reading the dashboard understands the strength of that evidence without needing to read the full report.</w:t>
      </w:r>
    </w:p>
    <w:p>
      <w:pPr>
        <w:pStyle w:val="Heading1"/>
        <w:spacing w:after="150" w:before="300"/>
      </w:pPr>
      <w:r>
        <w:t xml:space="preserve">5. Validated Findings and Updated Recommendations</w:t>
      </w:r>
    </w:p>
    <w:p>
      <w:pPr>
        <w:pStyle w:val="ListParagraph"/>
        <w:numPr>
          <w:ilvl w:val="0"/>
          <w:numId w:val="2"/>
        </w:numPr>
        <w:spacing w:after="80"/>
      </w:pPr>
      <w:r>
        <w:rPr>
          <w:b/>
          <w:bCs/>
        </w:rPr>
        <w:t xml:space="preserve">Confirmed: </w:t>
      </w:r>
      <w:r>
        <w:t xml:space="preserve">every KPI card on my dashboard is accurate against the raw dataset.</w:t>
      </w:r>
    </w:p>
    <w:p>
      <w:pPr>
        <w:pStyle w:val="ListParagraph"/>
        <w:numPr>
          <w:ilvl w:val="0"/>
          <w:numId w:val="2"/>
        </w:numPr>
        <w:spacing w:after="80"/>
      </w:pPr>
      <w:r>
        <w:rPr>
          <w:b/>
          <w:bCs/>
        </w:rPr>
        <w:t xml:space="preserve">Corrected: </w:t>
      </w:r>
      <w:r>
        <w:t xml:space="preserve">a small documentation inconsistency in how the under-5km distance boundary was defined, now fixed to match the dashboard's actual logic.</w:t>
      </w:r>
    </w:p>
    <w:p>
      <w:pPr>
        <w:pStyle w:val="ListParagraph"/>
        <w:numPr>
          <w:ilvl w:val="0"/>
          <w:numId w:val="2"/>
        </w:numPr>
        <w:spacing w:after="80"/>
      </w:pPr>
      <w:r>
        <w:rPr>
          <w:b/>
          <w:bCs/>
        </w:rPr>
        <w:t xml:space="preserve">Statistically confirmed: </w:t>
      </w:r>
      <w:r>
        <w:t xml:space="preserve">both booking lead time and prior no-show history are genuinely, significantly associated with no-shows, not just a pattern that happens to look convincing.</w:t>
      </w:r>
    </w:p>
    <w:p>
      <w:pPr>
        <w:pStyle w:val="ListParagraph"/>
        <w:numPr>
          <w:ilvl w:val="0"/>
          <w:numId w:val="2"/>
        </w:numPr>
        <w:spacing w:after="80"/>
      </w:pPr>
      <w:r>
        <w:rPr>
          <w:b/>
          <w:bCs/>
        </w:rPr>
        <w:t xml:space="preserve">Recommendation unchanged: </w:t>
      </w:r>
      <w:r>
        <w:t xml:space="preserve">HealthConnect should prioritise the highest-risk segment (long lead time and prior no-show history) for proactive outreach, this finding is now backed by statistical testing, not just descriptive comparison.</w:t>
      </w:r>
    </w:p>
    <w:p>
      <w:pPr>
        <w:pStyle w:val="ListParagraph"/>
        <w:numPr>
          <w:ilvl w:val="0"/>
          <w:numId w:val="2"/>
        </w:numPr>
        <w:spacing w:after="80"/>
      </w:pPr>
      <w:r>
        <w:rPr>
          <w:b/>
          <w:bCs/>
        </w:rPr>
        <w:t xml:space="preserve">Recommendation refined: </w:t>
      </w:r>
      <w:r>
        <w:t xml:space="preserve">distance may matter more at the extremes than previously suggested, worth watching as more data comes in, though the sample is currently too small to act on with confidence.</w:t>
      </w:r>
    </w:p>
    <w:p>
      <w:pPr>
        <w:pStyle w:val="Heading1"/>
        <w:spacing w:after="150" w:before="300"/>
      </w:pPr>
      <w:r>
        <w:t xml:space="preserve">6. Cross-Track Testing Contribution, HC-POD</w:t>
      </w:r>
    </w:p>
    <w:p>
      <w:pPr>
        <w:pStyle w:val="ListParagraph"/>
        <w:numPr>
          <w:ilvl w:val="0"/>
          <w:numId w:val="2"/>
        </w:numPr>
        <w:spacing w:after="80"/>
      </w:pPr>
      <w:r>
        <w:rPr>
          <w:b/>
          <w:bCs/>
        </w:rPr>
        <w:t xml:space="preserve">Track relevant to this activity: </w:t>
      </w:r>
      <w:r>
        <w:t xml:space="preserve">Data Science.</w:t>
      </w:r>
    </w:p>
    <w:p>
      <w:pPr>
        <w:pStyle w:val="ListParagraph"/>
        <w:numPr>
          <w:ilvl w:val="0"/>
          <w:numId w:val="2"/>
        </w:numPr>
        <w:spacing w:after="80"/>
      </w:pPr>
      <w:r>
        <w:rPr>
          <w:b/>
          <w:bCs/>
        </w:rPr>
        <w:t xml:space="preserve">Project dependency: </w:t>
      </w:r>
      <w:r>
        <w:t xml:space="preserve">the Data Science track's model depends on trustworthy, validated features, and my job this week was to make sure the features I recommended in Week 6 actually hold up to scrutiny before being handed off.</w:t>
      </w:r>
    </w:p>
    <w:p>
      <w:pPr>
        <w:pStyle w:val="ListParagraph"/>
        <w:numPr>
          <w:ilvl w:val="0"/>
          <w:numId w:val="2"/>
        </w:numPr>
        <w:spacing w:after="80"/>
      </w:pPr>
      <w:r>
        <w:rPr>
          <w:b/>
          <w:bCs/>
        </w:rPr>
        <w:t xml:space="preserve">Component being tested: </w:t>
      </w:r>
      <w:r>
        <w:t xml:space="preserve">the validity of booking_lead_days and previous_no_shows as candidate model features.</w:t>
      </w:r>
    </w:p>
    <w:p>
      <w:pPr>
        <w:pStyle w:val="ListParagraph"/>
        <w:numPr>
          <w:ilvl w:val="0"/>
          <w:numId w:val="2"/>
        </w:numPr>
        <w:spacing w:after="80"/>
      </w:pPr>
      <w:r>
        <w:rPr>
          <w:b/>
          <w:bCs/>
        </w:rPr>
        <w:t xml:space="preserve">Information received: </w:t>
      </w:r>
      <w:r>
        <w:t xml:space="preserve">none, I still don't have a Data Science collaborator assigned to this project, so there was no output to receive this week.</w:t>
      </w:r>
    </w:p>
    <w:p>
      <w:pPr>
        <w:pStyle w:val="ListParagraph"/>
        <w:numPr>
          <w:ilvl w:val="0"/>
          <w:numId w:val="2"/>
        </w:numPr>
        <w:spacing w:after="80"/>
      </w:pPr>
      <w:r>
        <w:rPr>
          <w:b/>
          <w:bCs/>
        </w:rPr>
        <w:t xml:space="preserve">Information provided: </w:t>
      </w:r>
      <w:r>
        <w:t xml:space="preserve">statistically validated confirmation that both recommended features are significantly associated with the outcome, not just descriptively different, along with the corrected distance boundary logic so any shared analysis is now consistent.</w:t>
      </w:r>
    </w:p>
    <w:p>
      <w:pPr>
        <w:pStyle w:val="ListParagraph"/>
        <w:numPr>
          <w:ilvl w:val="0"/>
          <w:numId w:val="2"/>
        </w:numPr>
        <w:spacing w:after="80"/>
      </w:pPr>
      <w:r>
        <w:rPr>
          <w:b/>
          <w:bCs/>
        </w:rPr>
        <w:t xml:space="preserve">Testing activity completed: </w:t>
      </w:r>
      <w:r>
        <w:t xml:space="preserve">chi-square testing of both candidate features, plus a full recheck of the highest and lowest risk segments against the raw dataset.</w:t>
      </w:r>
    </w:p>
    <w:p>
      <w:pPr>
        <w:pStyle w:val="ListParagraph"/>
        <w:numPr>
          <w:ilvl w:val="0"/>
          <w:numId w:val="2"/>
        </w:numPr>
        <w:spacing w:after="80"/>
      </w:pPr>
      <w:r>
        <w:rPr>
          <w:b/>
          <w:bCs/>
        </w:rPr>
        <w:t xml:space="preserve">Issue or finding identified: </w:t>
      </w:r>
      <w:r>
        <w:t xml:space="preserve">the distance band boundary inconsistency described above, and a smaller, promising but unconfirmed sub-segment pattern worth monitoring.</w:t>
      </w:r>
    </w:p>
    <w:p>
      <w:pPr>
        <w:pStyle w:val="ListParagraph"/>
        <w:numPr>
          <w:ilvl w:val="0"/>
          <w:numId w:val="2"/>
        </w:numPr>
        <w:spacing w:after="80"/>
      </w:pPr>
      <w:r>
        <w:rPr>
          <w:b/>
          <w:bCs/>
        </w:rPr>
        <w:t xml:space="preserve">Refinement or action taken: </w:t>
      </w:r>
      <w:r>
        <w:t xml:space="preserve">corrected the documentation, and flagged the smaller sub-segment as unconfirmed rather than treating it as a validated finding.</w:t>
      </w:r>
    </w:p>
    <w:p>
      <w:pPr>
        <w:pStyle w:val="ListParagraph"/>
        <w:numPr>
          <w:ilvl w:val="0"/>
          <w:numId w:val="2"/>
        </w:numPr>
        <w:spacing w:after="80"/>
      </w:pPr>
      <w:r>
        <w:rPr>
          <w:b/>
          <w:bCs/>
        </w:rPr>
        <w:t xml:space="preserve">Retest result: </w:t>
      </w:r>
      <w:r>
        <w:t xml:space="preserve">everything now matches consistently between the dashboard, the raw data, and the documentation.</w:t>
      </w:r>
    </w:p>
    <w:p>
      <w:pPr>
        <w:pStyle w:val="ListParagraph"/>
        <w:numPr>
          <w:ilvl w:val="0"/>
          <w:numId w:val="2"/>
        </w:numPr>
        <w:spacing w:after="80"/>
      </w:pPr>
      <w:r>
        <w:rPr>
          <w:b/>
          <w:bCs/>
        </w:rPr>
        <w:t xml:space="preserve">What changed as a result: </w:t>
      </w:r>
      <w:r>
        <w:t xml:space="preserve">the findings handed to Data Science are now statistically backed rather than just descriptively compared, which should give more confidence in prioritising these features.</w:t>
      </w:r>
    </w:p>
    <w:p>
      <w:pPr>
        <w:pStyle w:val="ListParagraph"/>
        <w:numPr>
          <w:ilvl w:val="0"/>
          <w:numId w:val="2"/>
        </w:numPr>
        <w:spacing w:after="80"/>
      </w:pPr>
      <w:r>
        <w:rPr>
          <w:b/>
          <w:bCs/>
        </w:rPr>
        <w:t xml:space="preserve">How this improves the overall HealthConnect solution: </w:t>
      </w:r>
      <w:r>
        <w:t xml:space="preserve">a model built on statistically validated features is more defensible and reliable than one built on features that only looked promising on a chart.</w:t>
      </w:r>
    </w:p>
    <w:p>
      <w:pPr>
        <w:pStyle w:val="ListParagraph"/>
        <w:numPr>
          <w:ilvl w:val="0"/>
          <w:numId w:val="2"/>
        </w:numPr>
        <w:spacing w:after="80"/>
      </w:pPr>
      <w:r>
        <w:rPr>
          <w:b/>
          <w:bCs/>
        </w:rPr>
        <w:t xml:space="preserve">Evidence: </w:t>
      </w:r>
      <w:r>
        <w:t xml:space="preserve">the chi-square test results and the corrected test table in Section 3 of this report.</w:t>
      </w:r>
    </w:p>
    <w:p>
      <w:pPr>
        <w:pStyle w:val="Heading1"/>
        <w:spacing w:after="150" w:before="300"/>
      </w:pPr>
      <w:r>
        <w:t xml:space="preserve">7. Limitations</w:t>
      </w:r>
    </w:p>
    <w:p>
      <w:pPr>
        <w:pStyle w:val="ListParagraph"/>
        <w:numPr>
          <w:ilvl w:val="0"/>
          <w:numId w:val="2"/>
        </w:numPr>
        <w:spacing w:after="80"/>
      </w:pPr>
      <w:r>
        <w:rPr>
          <w:b/>
          <w:bCs/>
        </w:rPr>
        <w:t xml:space="preserve">Still no live Data Science collaborator: </w:t>
      </w:r>
      <w:r>
        <w:t xml:space="preserve">this remains a one-directional handoff. I've prepared everything needed for integration, but the actual back-and-forth validation can't happen until someone is assigned to that track.</w:t>
      </w:r>
    </w:p>
    <w:p>
      <w:pPr>
        <w:pStyle w:val="ListParagraph"/>
        <w:numPr>
          <w:ilvl w:val="0"/>
          <w:numId w:val="2"/>
        </w:numPr>
        <w:spacing w:after="80"/>
      </w:pPr>
      <w:r>
        <w:rPr>
          <w:b/>
          <w:bCs/>
        </w:rPr>
        <w:t xml:space="preserve">Small sample sizes at the edges: </w:t>
      </w:r>
      <w:r>
        <w:t xml:space="preserve">some of my more detailed three-factor segments, like the 13.3% sub-group mentioned above, are based on small appointment counts and shouldn't be treated with the same confidence as my main findings.</w:t>
      </w:r>
    </w:p>
    <w:p>
      <w:pPr>
        <w:pStyle w:val="ListParagraph"/>
        <w:numPr>
          <w:ilvl w:val="0"/>
          <w:numId w:val="2"/>
        </w:numPr>
        <w:spacing w:after="80"/>
      </w:pPr>
      <w:r>
        <w:rPr>
          <w:b/>
          <w:bCs/>
        </w:rPr>
        <w:t xml:space="preserve">Synthetic dataset: </w:t>
      </w:r>
      <w:r>
        <w:t xml:space="preserve">these results continue to demonstrate a sound testing approach rather than reflect a real clinic's actual patients.</w:t>
      </w:r>
    </w:p>
    <w:p>
      <w:pPr>
        <w:pStyle w:val="ListParagraph"/>
        <w:numPr>
          <w:ilvl w:val="0"/>
          <w:numId w:val="2"/>
        </w:numPr>
        <w:spacing w:after="80"/>
      </w:pPr>
      <w:r>
        <w:rPr>
          <w:b/>
          <w:bCs/>
        </w:rPr>
        <w:t xml:space="preserve">Waiting time inconsistency remains undocumented beyond noting it: </w:t>
      </w:r>
      <w:r>
        <w:t xml:space="preserve">I still haven't resolved why waiting_time_minutes has values for missed appointments, that's flagged again here as still open.</w:t>
      </w:r>
    </w:p>
    <w:p>
      <w:pPr>
        <w:pStyle w:val="Heading1"/>
        <w:spacing w:after="150" w:before="300"/>
      </w:pPr>
      <w:r>
        <w:t xml:space="preserve">8. Week 8 Recommendations</w:t>
      </w:r>
    </w:p>
    <w:p>
      <w:pPr>
        <w:pStyle w:val="ListParagraph"/>
        <w:numPr>
          <w:ilvl w:val="0"/>
          <w:numId w:val="2"/>
        </w:numPr>
        <w:spacing w:after="80"/>
      </w:pPr>
      <w:r>
        <w:rPr>
          <w:b/>
          <w:bCs/>
        </w:rPr>
        <w:t xml:space="preserve">Follow up on the missing Data Science collaboration </w:t>
      </w:r>
      <w:r>
        <w:t xml:space="preserve">with programme coordinators before final presentation, since this has now been an open dependency for two weeks running.</w:t>
      </w:r>
    </w:p>
    <w:p>
      <w:pPr>
        <w:pStyle w:val="ListParagraph"/>
        <w:numPr>
          <w:ilvl w:val="0"/>
          <w:numId w:val="2"/>
        </w:numPr>
        <w:spacing w:after="80"/>
      </w:pPr>
      <w:r>
        <w:rPr>
          <w:b/>
          <w:bCs/>
        </w:rPr>
        <w:t xml:space="preserve">Consider a small write-up </w:t>
      </w:r>
      <w:r>
        <w:t xml:space="preserve">specifically addressing the waiting_time_minutes inconsistency, since it's been mentioned as a limitation for three weeks without being resolved.</w:t>
      </w:r>
    </w:p>
    <w:p>
      <w:pPr>
        <w:pStyle w:val="ListParagraph"/>
        <w:numPr>
          <w:ilvl w:val="0"/>
          <w:numId w:val="2"/>
        </w:numPr>
        <w:spacing w:after="80"/>
      </w:pPr>
      <w:r>
        <w:rPr>
          <w:b/>
          <w:bCs/>
        </w:rPr>
        <w:t xml:space="preserve">Bring the statistically validated findings </w:t>
      </w:r>
      <w:r>
        <w:t xml:space="preserve">into the final presentation as the headline result, since they're now backed by more than a visual comparison.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2026-09-19T11:40:07.249Z</dcterms:created>
  <dcterms:modified xsi:type="dcterms:W3CDTF">2026-09-19T11:40:07.249Z</dcterms:modified>
</cp:coreProperties>
</file>

<file path=docProps/custom.xml><?xml version="1.0" encoding="utf-8"?>
<Properties xmlns="http://schemas.openxmlformats.org/officeDocument/2006/custom-properties" xmlns:vt="http://schemas.openxmlformats.org/officeDocument/2006/docPropsVTypes"/>
</file>