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FHIR Compliant Standard Knowledge (Computable)</w:t>
      </w:r>
    </w:p>
    <w:p>
      <w:r>
        <w:t>research_study=ResearchStudy(resourceType='ResearchStudy', id='study1', title='Randomized controlled trial on ovarian and tubal cancer screening', study_design='randomized controlled trial', enrollment='202638', setting='13 centers in National Health Service trusts in England, Wales, and Northern Ireland', follow_up_duration='16.3 years', allocation_concealment='The trial management system confirmed eligibility and then randomly allocated women using the Visual Basic randomisation statement and the RND function', blinding='Investigators and participants were aware of group allocation, but members of the outcomes committee were masked to the randomization group', intention_to_treat='Yes', funding_source='National Institute for Health Research, Cancer Research UK, and The Eve Appeal', groups=[Group(id='group1', type='intervention-arm', description='Multimodal screening (MMS) using longitudinal CA125 and second-line transvaginal ultrasound screening', characteristics=[Characteristic(id='char1', description='50,625 participants')]), Group(id='group2', type='comparator-arm', description='Ultrasound screening (USS) using transvaginal ultrasound as the primary test', characteristics=[Characteristic(id='char2', description='50,623 participants')]), Group(id='group3', type='comparator-arm', description='No screening group', characteristics=[Characteristic(id='char3', description='101,314 participants')])], citations=[Citation(resourceType='Citation', id='citation1', title='Randomized controlled trial on ovarian and tubal cancer screening', authors=[], pmid='', pmcid='', doi='', publicationForm=PublicationForm(journal='', issue='', volume='', current_status='', publication_date=''))]) groups=[Group(id='group1', type='intervention-arm', description='Multimodal screening (MMS) using longitudinal CA125 and second-line transvaginal ultrasound screening', characteristics=[Characteristic(id='char1', description='50,625 participants')]), Group(id='group2', type='comparator-arm', description='Ultrasound screening (USS) using transvaginal ultrasound as the primary test', characteristics=[Characteristic(id='char2', description='50,623 participants')]), Group(id='group3', type='comparator-arm', description='No screening group', characteristics=[Characteristic(id='char3', description='101,314 participants')])] evidence_results=[Evidence(resourceType='Evidence', id='evidence1', title='Primary Outcome: Death due to ovarian or tubal cancer', description='Death due to ovarian or tubal cancer by June 30, 2020', variable_definitions=[VariableDefinition(variableRole='population', reference='EvidenceVariable/population1'), VariableDefinition(variableRole='intervention', reference='EvidenceVariable/intervention1'), VariableDefinition(variableRole='comparator', reference='EvidenceVariable/comparator1'), VariableDefinition(variableRole='outcome', reference='EvidenceVariable/outcome1'), VariableDefinition(variableRole='group', reference='Group/group1')], statistics=[Statistic(description='296 deaths (0.6% of 50,625) in MMS Group', statisticType='event rate', value='0.6', unit='%', event_rate='0.6', sample_size=SampleSize(description='MMS Group', value='50625')), Statistic(description='291 deaths (0.6% of 50,623) in USS Group', statisticType='event rate', value='0.6', unit='%', event_rate='0.6', sample_size=SampleSize(description='USS Group', value='50623')), Statistic(description='619 deaths (0.6% of 101,314) in No Screening Group', statisticType='event rate', value='0.6', unit='%', event_rate='0.6', sample_size=SampleSize(description='No Screening Group', value='101314'))], generation_model=''), Evidence(resourceType='Evidence', id='evidence2', title='Secondary Outcome: Ovarian and tubal cancer incidence and stage', description='Ovarian and tubal cancer incidence and stage', variable_definitions=[VariableDefinition(variableRole='population', reference='EvidenceVariable/population1'), VariableDefinition(variableRole='intervention', reference='EvidenceVariable/intervention1'), VariableDefinition(variableRole='comparator', reference='EvidenceVariable/comparator1'), VariableDefinition(variableRole='outcome', reference='EvidenceVariable/outcome1'), VariableDefinition(variableRole='group', reference='Group/group1')], statistics=[Statistic(description='522 cases (1.0% of 50,625) in MMS Group', statisticType='event rate', value='1.0', unit='%', event_rate='1.0', sample_size=SampleSize(description='MMS Group', value='50625')), Statistic(description='517 cases (1.0% of 50,623) in USS Group', statisticType='event rate', value='1.0', unit='%', event_rate='1.0', sample_size=SampleSize(description='USS Group', value='50623')), Statistic(description='1016 cases (1.0% of 101,314) in No Screening Group', statisticType='event rate', value='1.0', unit='%', event_rate='1.0', sample_size=SampleSize(description='No Screening Group', value='101314'))], generation_model='')] artifact_assessments=None population=EvidenceVariable(resourceType='EvidenceVariable', id='population1', type='population', description='Postmenopausal women aged 50–74 years', characteristics=[Characteristic(id='char1', description='Postmenopausal women aged 50–74 years'), Characteristic(id='char2', description='Exclusions: Bilateral oophorectomy, previous ovarian or active non-ovarian malignancy, or increased familial ovarian cancer risk')]) intervention=EvidenceVariable(resourceType='EvidenceVariable', id='intervention1', type='intervention', description='Multimodal screening (MMS) using longitudinal CA125 and second-line transvaginal ultrasound screening', characteristics=[Characteristic(id='char1', description='Multimodal screening (MMS) using longitudinal CA125 and second-line transvaginal ultrasound screening')]) comparator=EvidenceVariable(resourceType='EvidenceVariable', id='comparator1', type='comparator', description='Ultrasound screening (USS) using transvaginal ultrasound as the primary test', characteristics=[Characteristic(id='char2', description='Ultrasound screening (USS) using transvaginal ultrasound as the primary test')]) outcome=EvidenceVariable(resourceType='EvidenceVariable', id='outcome1', type='outcome', description='Death due to ovarian or tubal cancer', characteristics=[Characteristic(id='char1', description='Death due to ovarian or tubal cancer (WHO 2014 criteria)')]) citation=Citation(resourceType='Citation', id='citation1', title='Randomized controlled trial on ovarian and tubal cancer screening', authors=[], pmid='', pmcid='', doi='', publicationForm=PublicationForm(journal='', issue='', volume='', current_status='', publication_date=''))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