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**Design**: Randomized controlled trial.</w:t>
        <w:br/>
        <w:t xml:space="preserve">   - **Allocation concealment**: "The trial management system confirmed eligibility and then randomly allocated women using the Visual Basic</w:t>
        <w:br/>
        <w:t>randomisation statement and the RND function to annual screening using the MMS or USS strategy, or no screening."</w:t>
        <w:br/>
        <w:t xml:space="preserve">   - **Blinding**: Investigators and participants were aware of group allocation, but members of the outcomes committee were masked to the</w:t>
        <w:br/>
        <w:t>randomization group.</w:t>
        <w:br/>
        <w:t xml:space="preserve">   - **Follow-up duration**: Median follow-up of 16.3 years.</w:t>
        <w:br/>
        <w:t xml:space="preserve">   - **Setting**: 13 centers in National Health Service trusts in England, Wales, and Northern Ireland.</w:t>
        <w:br/>
        <w:t xml:space="preserve">   - **Sample size**: 202,638 women.</w:t>
        <w:br/>
        <w:br/>
        <w:t>2. **Population Inclusion**: Postmenopausal women aged 50–74 years were recruited from the general population.</w:t>
        <w:br/>
        <w:br/>
        <w:t>3. **Key Exclusions**: Bilateral oophorectomy, previous ovarian or active non-ovarian malignancy, or increased familial ovarian cancer risk.</w:t>
        <w:br/>
        <w:br/>
        <w:t>4. **Intervention**: Multimodal screening (MMS) using longitudinal CA125 and second-line transvaginal ultrasound screening (n=50,625).</w:t>
        <w:br/>
        <w:br/>
        <w:t>5. **Comparator**: Ultrasound screening (USS) using transvaginal ultrasound as the primary test (n=50,623), and a no screening group (n=101,314).</w:t>
        <w:br/>
        <w:br/>
        <w:t>6. **Primary Outcome**: Death due to ovarian or tubal cancer (WHO 2014 criteria) by June 30, 2020.</w:t>
        <w:br/>
        <w:br/>
        <w:t>7. **Secondary Outcomes**: Ovarian and tubal cancer incidence and stage, subgroup analysis of invasive epithelial ovarian and tubal cancer, and stage-</w:t>
        <w:br/>
        <w:t>specific ovarian and tubal cancer case fatality rates.</w:t>
        <w:br/>
        <w:br/>
        <w:t>8. **Patient Follow-up**: Complete follow-up was possible in 95.0% of participants, resulting in 3.16 million women-years of follow-up.</w:t>
        <w:br/>
        <w:br/>
        <w:t>9. **Intention to Treat Analysis**: Yes.</w:t>
        <w:br/>
        <w:br/>
        <w:t>10. **Baseline Characteristics**: The baseline characteristics were balanced between groups. The mean age, sex distribution, and race or ethnicity</w:t>
        <w:br/>
        <w:t>were not explicitly detailed in the provided text.</w:t>
        <w:br/>
        <w:br/>
        <w:t>11. **Sources of funding**: National Institute for Health Research, Cancer Research UK, and The Eve Appeal.</w:t>
        <w:br/>
        <w:br/>
        <w:t>12. **Conclusion**: The study found no significant reduction in deaths from ovarian and tubal cancer with either screening method (MMS or USS)</w:t>
        <w:br/>
        <w:t>compared to no screening, indicating that general population screening for ovarian and tubal cancer with the strategies used in this trial cannot be</w:t>
        <w:br/>
        <w:t>recommended.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"Death due to ovarian or tubal cancer",</w:t>
        <w:br/>
        <w:t xml:space="preserve">    "Event Rates or Means": {</w:t>
        <w:br/>
        <w:t xml:space="preserve">      "MMS Group": 296 deaths (0.6% of 50,625)",</w:t>
        <w:br/>
        <w:t xml:space="preserve">      "USS Group": 291 deaths (0.6% of 50,623)",</w:t>
        <w:br/>
        <w:t xml:space="preserve">      "No Screening Group": 619 deaths (0.6% of 101,314)"</w:t>
        <w:br/>
        <w:t xml:space="preserve">    },</w:t>
        <w:br/>
        <w:t xml:space="preserve">    "Comparison of Outcomes": {</w:t>
        <w:br/>
        <w:t xml:space="preserve">      "MMS vs No Screening": "p=0.58",</w:t>
        <w:br/>
        <w:t xml:space="preserve">      "USS vs No Screening": "p=0.36"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"Ovarian and tubal cancer incidence and stage",</w:t>
        <w:br/>
        <w:t xml:space="preserve">    "Event Rates or Means": {</w:t>
        <w:br/>
        <w:t xml:space="preserve">      "MMS Group": "522 cases (1.0% of 50,625)",</w:t>
        <w:br/>
        <w:t xml:space="preserve">      "USS Group": "517 cases (1.0% of 50,623)",</w:t>
        <w:br/>
        <w:t xml:space="preserve">      "No Screening Group": "1016 cases (1.0% of 101,314)"</w:t>
        <w:br/>
        <w:t xml:space="preserve">    },</w:t>
        <w:br/>
        <w:t xml:space="preserve">    "Comparison of Outcomes": {</w:t>
        <w:br/>
        <w:t xml:space="preserve">      "Stage I Incidence in MMS Group vs No Screening": "47.2% increase (95% CI 19.7 to 81.1)",</w:t>
        <w:br/>
        <w:t xml:space="preserve">      "Stage IV Incidence in MMS Group vs No Screening": "24.5% decrease (95% CI -41.8 to -2.0)"</w:t>
        <w:br/>
        <w:t xml:space="preserve">    }</w:t>
        <w:br/>
        <w:t xml:space="preserve">  },</w:t>
        <w:br/>
        <w:t xml:space="preserve">  {</w:t>
        <w:br/>
        <w:t xml:space="preserve">    "Outcome Type": "Subgroup Analysis",</w:t>
        <w:br/>
        <w:t xml:space="preserve">    "Outcome Description": "Invasive epithelial ovarian and tubal cancer deaths",</w:t>
        <w:br/>
        <w:t xml:space="preserve">    "Event Rates or Means": {</w:t>
        <w:br/>
        <w:t xml:space="preserve">      "MMS Group": "295 deaths (0.6% of 50,625)",</w:t>
        <w:br/>
        <w:t xml:space="preserve">      "USS Group": "287 deaths (0.6% of 50,622)",</w:t>
        <w:br/>
        <w:t xml:space="preserve">      "No Screening Group": "617 deaths (0.6% of 101,314)"</w:t>
        <w:br/>
        <w:t xml:space="preserve">    },</w:t>
        <w:br/>
        <w:t xml:space="preserve">    "Comparison of Outcomes": {</w:t>
        <w:br/>
        <w:t xml:space="preserve">      "MMS vs No Screening": "p=0.60",</w:t>
        <w:br/>
        <w:t xml:space="preserve">      "USS vs No Screening": "p=0.33"</w:t>
        <w:br/>
        <w:t xml:space="preserve">    }</w:t>
        <w:br/>
        <w:t xml:space="preserve">  },</w:t>
        <w:br/>
        <w:t xml:space="preserve">  {</w:t>
        <w:br/>
        <w:t xml:space="preserve">    "Outcome Type": "Case Fatality Rate",</w:t>
        <w:br/>
        <w:t xml:space="preserve">    "Outcome Description": "Case fatality rate by stage",</w:t>
        <w:br/>
        <w:t xml:space="preserve">    "Event Rates or Means": {</w:t>
        <w:br/>
        <w:t xml:space="preserve">      "Stage I Case Fatality Rate in MMS Group": "23 (14.8% of 155)",</w:t>
        <w:br/>
        <w:t xml:space="preserve">      "Stage IV Case Fatality Rate in MMS Group": "62 (79.5% of 78)",</w:t>
        <w:br/>
        <w:t xml:space="preserve">      "Stage I Case Fatality Rate in No Screening Group": "20 (9.4% of 212)",</w:t>
        <w:br/>
        <w:t xml:space="preserve">      "Stage IV Case Fatality Rate in No Screening Group": "174 (83.7% of 208)"</w:t>
        <w:br/>
        <w:t xml:space="preserve">    }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