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PICO variables</w:t>
      </w:r>
    </w:p>
    <w:p>
      <w:r>
        <w:t>1. **Methods**</w:t>
        <w:br/>
        <w:t xml:space="preserve">   - **Design:** Randomized non-inferiority trial</w:t>
        <w:br/>
        <w:t xml:space="preserve">   - **Allocation concealment:** Not mentioned</w:t>
        <w:br/>
        <w:t xml:space="preserve">   - **Blinding:** The individuals assessing all endpoints were blinded to group assignment.</w:t>
        <w:br/>
        <w:t xml:space="preserve">   - **Follow-up duration:** 12 months</w:t>
        <w:br/>
        <w:t xml:space="preserve">   - **Setting:** Single academic medical center (Massachusetts General Hospital, USA)</w:t>
        <w:br/>
        <w:t xml:space="preserve">   - **Sample size:** 50 postmenopausal women</w:t>
        <w:br/>
        <w:br/>
        <w:t>2. **Population Inclusion:**</w:t>
        <w:br/>
        <w:t xml:space="preserve">   Postmenopausal women aged 45 years or older, at high risk of fracture, defined as either previous history of fragility fracture or a BMD T score of</w:t>
        <w:br/>
        <w:t>–2.5 or less at the total hip, femoral neck, or lumbar spine.</w:t>
        <w:br/>
        <w:br/>
        <w:t>3. **Key Exclusions:**</w:t>
        <w:br/>
        <w:t xml:space="preserve">   Use of oral bisphosphonates or denosumab within 12 months; use of estrogens, selective estrogen receptor modulators, or calcitonin within 3 months;</w:t>
        <w:br/>
        <w:t>more than 14 days of glucocorticoid exposure within 6 months; use of teriparatide, abaloparatide, or intravenous bisphosphonates within 3 years; any</w:t>
        <w:br/>
        <w:t>previous use of romosozumab or strontium; serum alkaline phosphatase greater than two times the upper normal limit; stage 4 or stage 5 chronic kidney</w:t>
        <w:br/>
        <w:t>disease; hypercalcemia or hypocalcemia; elevated blood parathyroid concentration; serum 25-hydroxyvitamin D less than 20 ng/mL; hematocrit less than</w:t>
        <w:br/>
        <w:t>32%; history of malignancy (except basal cell carcinoma); history of myocardial infarction or stroke within the preceding year; history of unstable</w:t>
        <w:br/>
        <w:t>angina or transient ischemic attack in the past year; current atrial fibrillation; uncontrolled eczema; congenital or acquired bone disease other than</w:t>
        <w:br/>
        <w:t>osteoporosis; history of osteonecrosis of the jaw; extensive dental work involving extraction or dental implants in the past 3 months or planned in</w:t>
        <w:br/>
        <w:t>the upcoming 12 months; any health condition that significantly increases the risk of cardiovascular events.</w:t>
        <w:br/>
        <w:br/>
        <w:t>4. **Intervention:**</w:t>
        <w:br/>
        <w:t xml:space="preserve">   3-month ROMO group (n=24): 3 months of romosozumab (210 mg by subcutaneous injection, monthly) followed by 9 months of denosumab (60 mg by</w:t>
        <w:br/>
        <w:t>subcutaneous injection, every 6 months).</w:t>
        <w:br/>
        <w:br/>
        <w:t>5. **Comparator:**</w:t>
        <w:br/>
        <w:t xml:space="preserve">   12-month ROMO group (n=26): 12 months of romosozumab (210 mg by subcutaneous injection, monthly).</w:t>
        <w:br/>
        <w:br/>
        <w:t>6. **Primary Outcome:**</w:t>
        <w:br/>
        <w:t xml:space="preserve">   The percentage change in total hip bone mineral density (BMD).</w:t>
        <w:br/>
        <w:br/>
        <w:t>7. **Secondary Outcomes:**</w:t>
        <w:br/>
        <w:t xml:space="preserve">   BMD of the femoral neck and lumbar spine, serum markers of bone turnover, and BMD of the distal radius. Safety and adverse events were also</w:t>
        <w:br/>
        <w:t>assessed.</w:t>
        <w:br/>
        <w:br/>
        <w:t>8. **Patient Follow-up:**</w:t>
        <w:br/>
        <w:t xml:space="preserve">   Follow-up rate: 24 participants in each group completed at least one post-baseline visit and were included in the analysis.</w:t>
        <w:br/>
        <w:br/>
        <w:t>9. **Intention to Treat Analysis:**</w:t>
        <w:br/>
        <w:t xml:space="preserve">   Yes</w:t>
        <w:br/>
        <w:br/>
        <w:t>10. **Baseline Characteristics:**</w:t>
        <w:br/>
        <w:t xml:space="preserve">    Mean age: 69.6 years (SD 4.5).</w:t>
        <w:br/>
        <w:t xml:space="preserve">    Sex distribution: 100% female.</w:t>
        <w:br/>
        <w:t xml:space="preserve">    Race: Predominantly White (96% in the 3-month ROMO group, 92% in the 12-month ROMO group).</w:t>
        <w:br/>
        <w:br/>
        <w:t>11. **Sources of funding:**</w:t>
        <w:br/>
        <w:t xml:space="preserve">    US National Institute of Arthritis and Musculoskeletal and Skin Diseases and US National Center for Advancing Translational Science.</w:t>
        <w:br/>
        <w:br/>
        <w:t>12. **Conclusion:**</w:t>
        <w:br/>
        <w:t xml:space="preserve">    In postmenopausal women at high risk of fracture, 3 months of romosozumab followed by 9 months of denosumab was non-inferior to 12 months of</w:t>
        <w:br/>
        <w:t>romosozumab in increasing total hip BMD.</w:t>
      </w:r>
    </w:p>
    <w:p>
      <w:pPr>
        <w:pStyle w:val="Heading1"/>
      </w:pPr>
      <w:r>
        <w:t>Main results (Stats)</w:t>
      </w:r>
    </w:p>
    <w:p>
      <w:r>
        <w:t>```json</w:t>
        <w:br/>
        <w:t>[</w:t>
        <w:br/>
        <w:t xml:space="preserve">  {</w:t>
        <w:br/>
        <w:t xml:space="preserve">    "Outcome Type": "Primary Outcome",</w:t>
        <w:br/>
        <w:t xml:space="preserve">    "Outcome Description": "Percentage change in total hip BMD",</w:t>
        <w:br/>
        <w:t xml:space="preserve">    "Time Point or Subgroup": "12 months",</w:t>
        <w:br/>
        <w:t xml:space="preserve">    "Event Rates or Means": {</w:t>
        <w:br/>
        <w:t xml:space="preserve">      "Intervention Group": "5.7% (SD 3.3)",</w:t>
        <w:br/>
        <w:t xml:space="preserve">      "Control Group": "6.0% (SD 3.2)"</w:t>
        <w:br/>
        <w:t xml:space="preserve">    },</w:t>
        <w:br/>
        <w:t xml:space="preserve">    "Comparison of Outcomes": "90% CI for the between-group difference was -1.2 to 1.9, p = 0.644"</w:t>
        <w:br/>
        <w:t xml:space="preserve">  },</w:t>
        <w:br/>
        <w:t xml:space="preserve">  {</w:t>
        <w:br/>
        <w:t xml:space="preserve">    "Outcome Type": "Secondary Outcome",</w:t>
        <w:br/>
        <w:t xml:space="preserve">    "Outcome Description": "Percentage change in femoral neck BMD",</w:t>
        <w:br/>
        <w:t xml:space="preserve">    "Time Point or Subgroup": "12 months",</w:t>
        <w:br/>
        <w:t xml:space="preserve">    "Event Rates or Means": {</w:t>
        <w:br/>
        <w:t xml:space="preserve">      "Intervention Group": "5.0% (SD 6.2)",</w:t>
        <w:br/>
        <w:t xml:space="preserve">      "Control Group": "6.3% (SD 4.8)"</w:t>
        <w:br/>
        <w:t xml:space="preserve">    },</w:t>
        <w:br/>
        <w:t xml:space="preserve">    "Comparison of Outcomes": "95% CI for the between-group difference was -1.4 to 4.0, p = 0.29"</w:t>
        <w:br/>
        <w:t xml:space="preserve">  },</w:t>
        <w:br/>
        <w:t xml:space="preserve">  {</w:t>
        <w:br/>
        <w:t xml:space="preserve">    "Outcome Type": "Secondary Outcome",</w:t>
        <w:br/>
        <w:t xml:space="preserve">    "Outcome Description": "Percentage change in lumbar spine BMD",</w:t>
        <w:br/>
        <w:t xml:space="preserve">    "Time Point or Subgroup": "12 months",</w:t>
        <w:br/>
        <w:t xml:space="preserve">    "Event Rates or Means": {</w:t>
        <w:br/>
        <w:t xml:space="preserve">      "Intervention Group": "10.6% (SD 5.4)",</w:t>
        <w:br/>
        <w:t xml:space="preserve">      "Control Group": "12.5% (SD 4.4)"</w:t>
        <w:br/>
        <w:t xml:space="preserve">    },</w:t>
        <w:br/>
        <w:t xml:space="preserve">    "Comparison of Outcomes": "95% CI for the between-group difference was -1.1 to 4.8, p = 0.184"</w:t>
        <w:br/>
        <w:t xml:space="preserve">  },</w:t>
        <w:br/>
        <w:t xml:space="preserve">  {</w:t>
        <w:br/>
        <w:t xml:space="preserve">    "Outcome Type": "Exploratory Outcome",</w:t>
        <w:br/>
        <w:t xml:space="preserve">    "Outcome Description": "Percentage change in distal radius BMD",</w:t>
        <w:br/>
        <w:t xml:space="preserve">    "Time Point or Subgroup": "12 months",</w:t>
        <w:br/>
        <w:t xml:space="preserve">    "Event Rates or Means": {</w:t>
        <w:br/>
        <w:t xml:space="preserve">      "Intervention Group": "-0.3% (SD 2.6)",</w:t>
        <w:br/>
        <w:t xml:space="preserve">      "Control Group": "-1.5% (SD 3.0)"</w:t>
        <w:br/>
        <w:t xml:space="preserve">    },</w:t>
        <w:br/>
        <w:t xml:space="preserve">    "Comparison of Outcomes": "95% CI for the between-group difference was -2.5 to 0.2, p = 0.079"</w:t>
        <w:br/>
        <w:t xml:space="preserve">  },</w:t>
        <w:br/>
        <w:t xml:space="preserve">  {</w:t>
        <w:br/>
        <w:t xml:space="preserve">    "Outcome Type": "Adverse Event",</w:t>
        <w:br/>
        <w:t xml:space="preserve">    "Outcome Description": "Any adverse event during treatment",</w:t>
        <w:br/>
        <w:t xml:space="preserve">    "Event Rates or Means": {</w:t>
        <w:br/>
        <w:t xml:space="preserve">      "Intervention Group": "21 (88%)",</w:t>
        <w:br/>
        <w:t xml:space="preserve">      "Control Group": "21 (81%)"</w:t>
        <w:br/>
        <w:t xml:space="preserve">    },</w:t>
        <w:br/>
        <w:t xml:space="preserve">    "Comparison of Outcomes": "Not specified"</w:t>
        <w:br/>
        <w:t xml:space="preserve">  },</w:t>
        <w:br/>
        <w:t xml:space="preserve">  {</w:t>
        <w:br/>
        <w:t xml:space="preserve">    "Outcome Type": "Adverse Event",</w:t>
        <w:br/>
        <w:t xml:space="preserve">    "Outcome Description": "Serious adverse event during treatment",</w:t>
        <w:br/>
        <w:t xml:space="preserve">    "Event Rates or Means": {</w:t>
        <w:br/>
        <w:t xml:space="preserve">      "Intervention Group": "0",</w:t>
        <w:br/>
        <w:t xml:space="preserve">      "Control Group": "3 (12%)"</w:t>
        <w:br/>
        <w:t xml:space="preserve">    },</w:t>
        <w:br/>
        <w:t xml:space="preserve">    "Comparison of Outcomes": "Not specified"</w:t>
        <w:br/>
        <w:t xml:space="preserve">  },</w:t>
        <w:br/>
        <w:t xml:space="preserve">  {</w:t>
        <w:br/>
        <w:t xml:space="preserve">    "Outcome Type": "Adverse Event",</w:t>
        <w:br/>
        <w:t xml:space="preserve">    "Outcome Description": "Fracture during treatment",</w:t>
        <w:br/>
        <w:t xml:space="preserve">    "Event Rates or Means": {</w:t>
        <w:br/>
        <w:t xml:space="preserve">      "Intervention Group": "3 (13%)",</w:t>
        <w:br/>
        <w:t xml:space="preserve">      "Control Group": "1 (4%)"</w:t>
        <w:br/>
        <w:t xml:space="preserve">    },</w:t>
        <w:br/>
        <w:t xml:space="preserve">    "Comparison of Outcomes": "Not specified"</w:t>
        <w:br/>
        <w:t xml:space="preserve">  }</w:t>
        <w:br/>
        <w:t>]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