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Methods</w:t>
        <w:br/>
        <w:t xml:space="preserve">   - Design: Randomized non-inferiority trial</w:t>
        <w:br/>
        <w:t xml:space="preserve">   - Allocation concealment: Randomisation was done in blocks of ten and stratified for seven age cohorts.</w:t>
        <w:br/>
        <w:t xml:space="preserve">   - Blinding: Not mentioned</w:t>
        <w:br/>
        <w:t xml:space="preserve">   - Follow-up duration: Median follow-up duration for HPV-positive women was 20 months (IQR 17–22).</w:t>
        <w:br/>
        <w:t xml:space="preserve">   - Setting: Three centers (VU University Medical Centre, Erasmus University Medical Centre, Radboud University Medical Centre) in the Netherlands.</w:t>
        <w:br/>
        <w:t xml:space="preserve">   - Sample size: 16,410 women were initially enrolled, with 7643 in the self-sampling group and 6282 in the clinician-based sampling group after</w:t>
        <w:br/>
        <w:t>exclusions.</w:t>
        <w:br/>
        <w:br/>
        <w:t>2. Population Inclusion:</w:t>
        <w:br/>
        <w:t xml:space="preserve">   Women aged 29–61 years invited as part of their regular cervical screening invitation in the Netherlands who provided informed consent.</w:t>
        <w:br/>
        <w:br/>
        <w:t>3. Key Exclusions:</w:t>
        <w:br/>
        <w:t xml:space="preserve">   Previous hysterectomy, childbirth less than 6 months ago, current pregnancy.</w:t>
        <w:br/>
        <w:br/>
        <w:t>4. Intervention:</w:t>
        <w:br/>
        <w:t xml:space="preserve">   Self-sampling group (n=7643): Women were requested to collect their own cervicovaginal sample using an Evalyn Brush.</w:t>
        <w:br/>
        <w:br/>
        <w:t>5. Comparator:</w:t>
        <w:br/>
        <w:t xml:space="preserve">   Clinician-based sampling group (n=6282): Samples were collected by a general practitioner using a Cervex-Brush.</w:t>
        <w:br/>
        <w:br/>
        <w:t>6. Primary Outcome:</w:t>
        <w:br/>
        <w:t xml:space="preserve">   Detection of cervical intraepithelial neoplasia (CIN) of grade 2 or worse (CIN2+) and grade 3 or worse (CIN3+).</w:t>
        <w:br/>
        <w:br/>
        <w:t>7. Secondary Outcomes:</w:t>
        <w:br/>
        <w:t xml:space="preserve">   Detection of invasive cancer after 1–2 years and cost-effectiveness of HPV self-sampling.</w:t>
        <w:br/>
        <w:br/>
        <w:t>8. Patient Follow-up:</w:t>
        <w:br/>
        <w:t xml:space="preserve">   Follow-up rate not explicitly stated, but results are based on women who returned samples and had valid test results.</w:t>
        <w:br/>
        <w:br/>
        <w:t>9. Intention to Treat Analysis:</w:t>
        <w:br/>
        <w:t xml:space="preserve">   Yes</w:t>
        <w:br/>
        <w:br/>
        <w:t>10. Baseline Characteristics:</w:t>
        <w:br/>
        <w:t xml:space="preserve">    - Mean age: Approximately 45 years in both groups</w:t>
        <w:br/>
        <w:t xml:space="preserve">    - Sex distribution: Female</w:t>
        <w:br/>
        <w:t xml:space="preserve">    - Race or ethnicity: Not mentioned</w:t>
        <w:br/>
        <w:br/>
        <w:t>11. Sources of funding:</w:t>
        <w:br/>
        <w:t xml:space="preserve">    Ministry of Health, Welfare, and Sport (Netherlands), and the European Commission.</w:t>
        <w:br/>
        <w:br/>
        <w:t>12. Conclusion:</w:t>
        <w:br/>
        <w:t xml:space="preserve">    The study found that HPV testing done with a clinically validated PCR-based assay had similar accuracy on self-collected and clinician-collected</w:t>
        <w:br/>
        <w:t>samples for detecting CIN2+ or CIN3+ lesions, suggesting that HPV self-sampling could be used as a primary screening method in routine screening.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"Detection of CIN2+",</w:t>
        <w:br/>
        <w:t xml:space="preserve">    "Time Point or Subgroup": "Overall",</w:t>
        <w:br/>
        <w:t xml:space="preserve">    "Event Rates or Means": {</w:t>
        <w:br/>
        <w:t xml:space="preserve">      "Intervention Group": "111 (1.5%)",</w:t>
        <w:br/>
        <w:t xml:space="preserve">      "Control Group": "92 (1.5%)"</w:t>
        <w:br/>
        <w:t xml:space="preserve">    },</w:t>
        <w:br/>
        <w:t xml:space="preserve">    "Comparison of Outcomes": "Relative Risk: 0.99 (95% CI: 0.75–1.31)"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"Detection of CIN3+",</w:t>
        <w:br/>
        <w:t xml:space="preserve">    "Time Point or Subgroup": "Overall",</w:t>
        <w:br/>
        <w:t xml:space="preserve">    "Event Rates or Means": {</w:t>
        <w:br/>
        <w:t xml:space="preserve">      "Intervention Group": "73 (1.0%)",</w:t>
        <w:br/>
        <w:t xml:space="preserve">      "Control Group": "45 (0.7%)"</w:t>
        <w:br/>
        <w:t xml:space="preserve">    },</w:t>
        <w:br/>
        <w:t xml:space="preserve">    "Comparison of Outcomes": "Relative Risk: 1.33 (95% CI: 0.92–1.93)"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"Detection of CIN2+ in all randomized women",</w:t>
        <w:br/>
        <w:t xml:space="preserve">    "Time Point or Subgroup": "Overall",</w:t>
        <w:br/>
        <w:t xml:space="preserve">    "Event Rates or Means": {</w:t>
        <w:br/>
        <w:t xml:space="preserve">      "Intervention Group": "111 (1.4%)",</w:t>
        <w:br/>
        <w:t xml:space="preserve">      "Control Group": "92 (1.1%)"</w:t>
        <w:br/>
        <w:t xml:space="preserve">    },</w:t>
        <w:br/>
        <w:t xml:space="preserve">    "Comparison of Outcomes": "Relative Risk: 1.20 (95% CI: 0.91–1.58)"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"Detection of CIN3+ in all randomized women",</w:t>
        <w:br/>
        <w:t xml:space="preserve">    "Time Point or Subgroup": "Overall",</w:t>
        <w:br/>
        <w:t xml:space="preserve">    "Event Rates or Means": {</w:t>
        <w:br/>
        <w:t xml:space="preserve">      "Intervention Group": "73 (0.9%)",</w:t>
        <w:br/>
        <w:t xml:space="preserve">      "Control Group": "45 (0.6%)"</w:t>
        <w:br/>
        <w:t xml:space="preserve">    },</w:t>
        <w:br/>
        <w:t xml:space="preserve">    "Comparison of Outcomes": "Relative Risk: 1.62 (95% CI: 1.12–2.34)"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"HPV Positivity",</w:t>
        <w:br/>
        <w:t xml:space="preserve">    "Time Point or Subgroup": "Overall",</w:t>
        <w:br/>
        <w:t xml:space="preserve">    "Event Rates or Means": {</w:t>
        <w:br/>
        <w:t xml:space="preserve">      "Intervention Group": "569 (7.4%)",</w:t>
        <w:br/>
        <w:t xml:space="preserve">      "Control Group": "451 (7.2%)"</w:t>
        <w:br/>
        <w:t xml:space="preserve">    },</w:t>
        <w:br/>
        <w:t xml:space="preserve">    "Comparison of Outcomes": "Relative Risk: 1.04 (95% CI: 0.92–1.17)"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"Sensitivity for CIN2+ detection",</w:t>
        <w:br/>
        <w:t xml:space="preserve">    "Time Point or Subgroup": "Overall",</w:t>
        <w:br/>
        <w:t xml:space="preserve">    "Event Rates or Means": {</w:t>
        <w:br/>
        <w:t xml:space="preserve">      "Intervention Group": "92.9% (87.3–98.4)",</w:t>
        <w:br/>
        <w:t xml:space="preserve">      "Control Group": "96.4% (92.9–99.9)"</w:t>
        <w:br/>
        <w:t xml:space="preserve">    },</w:t>
        <w:br/>
        <w:t xml:space="preserve">    "Comparison of Outcomes": "Relative Sensitivity: 0.96 (95% CI: 0.90–1.03)"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"Specificity for CIN2+ detection",</w:t>
        <w:br/>
        <w:t xml:space="preserve">    "Time Point or Subgroup": "Overall",</w:t>
        <w:br/>
        <w:t xml:space="preserve">    "Event Rates or Means": {</w:t>
        <w:br/>
        <w:t xml:space="preserve">      "Intervention Group": "93.9% (93.4–94.5)",</w:t>
        <w:br/>
        <w:t xml:space="preserve">      "Control Group": "94.2% (93.6–94.8)"</w:t>
        <w:br/>
        <w:t xml:space="preserve">    },</w:t>
        <w:br/>
        <w:t xml:space="preserve">    "Comparison of Outcomes": "Relative Specificity: 1.00 (95% CI: 0.99–1.01)"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"Sensitivity for CIN3+ detection",</w:t>
        <w:br/>
        <w:t xml:space="preserve">    "Time Point or Subgroup": "Overall",</w:t>
        <w:br/>
        <w:t xml:space="preserve">    "Event Rates or Means": {</w:t>
        <w:br/>
        <w:t xml:space="preserve">      "Intervention Group": "95.1% (88.5–100)",</w:t>
        <w:br/>
        <w:t xml:space="preserve">      "Control Group": "95.8% (91.2–100)"</w:t>
        <w:br/>
        <w:t xml:space="preserve">    },</w:t>
        <w:br/>
        <w:t xml:space="preserve">    "Comparison of Outcomes": "Relative Sensitivity: 0.99 (95% CI: 0.91–1.08)"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"Specificity for CIN3+ detection",</w:t>
        <w:br/>
        <w:t xml:space="preserve">    "Time Point or Subgroup": "Overall",</w:t>
        <w:br/>
        <w:t xml:space="preserve">    "Event Rates or Means": {</w:t>
        <w:br/>
        <w:t xml:space="preserve">      "Intervention Group": "93.4% (92.9–94.0)",</w:t>
        <w:br/>
        <w:t xml:space="preserve">      "Control Group": "93.5% (92.9–94.1)"</w:t>
        <w:br/>
        <w:t xml:space="preserve">    },</w:t>
        <w:br/>
        <w:t xml:space="preserve">    "Comparison of Outcomes": "Relative Specificity: 1.00 (95% CI: 0.99–1.01)"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