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**Methods**</w:t>
        <w:br/>
        <w:t xml:space="preserve">   - **Design**: Randomized controlled trial.</w:t>
        <w:br/>
        <w:t xml:space="preserve">   - **Allocation Concealment**: Not Mentioned.</w:t>
        <w:br/>
        <w:t xml:space="preserve">   - **Blinding**: Some trials were placebo-controlled (blinded), while others were open-label. Specific blinding details for each trial are not fully</w:t>
        <w:br/>
        <w:t>detailed in the text provided.</w:t>
        <w:br/>
        <w:t xml:space="preserve">   - **Follow-up duration**: Median follow-up duration varied; for example, in the trials of 5 further years of AIT, it was 8.1 years (IQR 6.0–10.0).</w:t>
        <w:br/>
        <w:t xml:space="preserve">   - **Setting**: 12 trials across multiple countries, including centers in the USA, Canada, Europe, Japan, and Australia.</w:t>
        <w:br/>
        <w:t xml:space="preserve">   - **Sample size**: 22,031 women.</w:t>
        <w:br/>
        <w:br/>
        <w:t>2. **Population Inclusion**: Postmenopausal women with ER-positive early breast cancer who had completed at least 5 years of endocrine therapy</w:t>
        <w:br/>
        <w:t>(tamoxifen, AIT, or tamoxifen then AIT).</w:t>
        <w:br/>
        <w:br/>
        <w:t>3. **Key Exclusions**: Women with unknown tumor ER status, ER-negative disease, and those who did not reach the landmark time when treatment schedules</w:t>
        <w:br/>
        <w:t>diverged in certain trials.</w:t>
        <w:br/>
        <w:br/>
        <w:t>4. **Intervention**: Further AIT (n=varies by trial). The intervention involved extending aromatase inhibitor treatment beyond the initial 5 years of</w:t>
        <w:br/>
        <w:t>endocrine therapy.</w:t>
        <w:br/>
        <w:br/>
        <w:t>5. **Comparator**: No further adjuvant endocrine therapy (n=varies by trial). This group did not receive additional AIT after completing the initial 5</w:t>
        <w:br/>
        <w:t>years of therapy.</w:t>
        <w:br/>
        <w:br/>
        <w:t>6. **Primary Outcome**: Recurrence of invasive breast cancer (local, distant, or new contralateral).</w:t>
        <w:br/>
        <w:br/>
        <w:t>7. **Secondary Outcomes**: Breast cancer mortality, mortality from other causes, all-cause mortality, bone fractures, and new primary cancers.</w:t>
        <w:br/>
        <w:br/>
        <w:t>8. **Patient Follow-up**: Follow-up rates are not explicitly detailed, but the analysis was stratified by age, nodal status, and trial, and censored</w:t>
        <w:br/>
        <w:t>at death from unrelated causes.</w:t>
        <w:br/>
        <w:br/>
        <w:t>9. **Intention to Treat Analysis**: Yes.</w:t>
        <w:br/>
        <w:br/>
        <w:t>10. **Baseline Characteristics**:</w:t>
        <w:br/>
        <w:t xml:space="preserve">    - Mean age: Median age was 63 years (IQR 56–69).</w:t>
        <w:br/>
        <w:t xml:space="preserve">    - Sex distribution: All participants were women.</w:t>
        <w:br/>
        <w:t xml:space="preserve">    - Race or ethnicity: Not specified in the text provided.</w:t>
        <w:br/>
        <w:br/>
        <w:t>11. **Sources of funding**: Cancer Research UK and Breast Cancer Research Foundation.</w:t>
        <w:br/>
        <w:br/>
        <w:t>12. **Conclusion**: Allocation to 5 further years of AIT reduced subsequent distant recurrence rates by about a quarter despite substantial non-</w:t>
        <w:br/>
        <w:t>adherence. Longer follow-up would have been needed to help assess directly any effects on mortality.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  {</w:t>
        <w:br/>
        <w:t xml:space="preserve">        "Outcome Type": "Primary Outcome",</w:t>
        <w:br/>
        <w:t xml:space="preserve">        "Outcome Description": "Recurrence of invasive breast cancer (local, distant, or new contralateral)",</w:t>
        <w:br/>
        <w:t xml:space="preserve">        "Event Rates or Means": {</w:t>
        <w:br/>
        <w:t xml:space="preserve">            "Intervention Group": "11.6%",</w:t>
        <w:br/>
        <w:t xml:space="preserve">            "Control Group": "15.2%"</w:t>
        <w:br/>
        <w:t xml:space="preserve">        },</w:t>
        <w:br/>
        <w:t xml:space="preserve">        "Comparison of Outcomes": "Risk Ratio: 0.71 (95% CI: 0.61–0.81), p&lt;0.00001"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"Distant recurrence",</w:t>
        <w:br/>
        <w:t xml:space="preserve">        "Event Rates or Means": {</w:t>
        <w:br/>
        <w:t xml:space="preserve">            "Intervention Group": "6.6%",</w:t>
        <w:br/>
        <w:t xml:space="preserve">            "Control Group": "8.6%"</w:t>
        <w:br/>
        <w:t xml:space="preserve">        },</w:t>
        <w:br/>
        <w:t xml:space="preserve">        "Comparison of Outcomes": "Risk Ratio: 0.73 (95% CI: 0.61–0.88), p=0.0010"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"Breast cancer mortality",</w:t>
        <w:br/>
        <w:t xml:space="preserve">        "Event Rates or Means": {</w:t>
        <w:br/>
        <w:t xml:space="preserve">            "Intervention Group": "4.4%",</w:t>
        <w:br/>
        <w:t xml:space="preserve">            "Control Group": "5.0%"</w:t>
        <w:br/>
        <w:t xml:space="preserve">        },</w:t>
        <w:br/>
        <w:t xml:space="preserve">        "Comparison of Outcomes": "Risk Ratio: 0.90 (95% CI: 0.70–1.15), p=0.40"</w:t>
        <w:br/>
        <w:t xml:space="preserve">    },</w:t>
        <w:br/>
        <w:t xml:space="preserve">    {</w:t>
        <w:br/>
        <w:t xml:space="preserve">        "Outcome Type": "Secondary Outcome",</w:t>
        <w:br/>
        <w:t xml:space="preserve">        "Outcome Description": "Bone fracture incidence",</w:t>
        <w:br/>
        <w:t xml:space="preserve">        "Event Rates or Means": {</w:t>
        <w:br/>
        <w:t xml:space="preserve">            "Intervention Group": "4.6% per 5 years",</w:t>
        <w:br/>
        <w:t xml:space="preserve">            "Control Group": "3.4% per 5 years"</w:t>
        <w:br/>
        <w:t xml:space="preserve">        },</w:t>
        <w:br/>
        <w:t xml:space="preserve">        "Comparison of Outcomes": "Risk Ratio: 1.35 (95% CI: 1.13–1.61), p=0.0009"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"Mortality from cardiovascular disease",</w:t>
        <w:br/>
        <w:t xml:space="preserve">        "Event Rates or Means": {</w:t>
        <w:br/>
        <w:t xml:space="preserve">            "Intervention Group": "68 deaths",</w:t>
        <w:br/>
        <w:t xml:space="preserve">            "Control Group": "70 deaths"</w:t>
        <w:br/>
        <w:t xml:space="preserve">        },</w:t>
        <w:br/>
        <w:t xml:space="preserve">        "Comparison of Outcomes": "No significant difference"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"Non-breast cancer mortality",</w:t>
        <w:br/>
        <w:t xml:space="preserve">        "Event Rates or Means": {</w:t>
        <w:br/>
        <w:t xml:space="preserve">            "Intervention Group": "5.3%",</w:t>
        <w:br/>
        <w:t xml:space="preserve">            "Control Group": "5.4%"</w:t>
        <w:br/>
        <w:t xml:space="preserve">        },</w:t>
        <w:br/>
        <w:t xml:space="preserve">        "Comparison of Outcomes": "Risk Ratio: 1.02 (95% CI: 0.90–1.16), p=0.72"</w:t>
        <w:br/>
        <w:t xml:space="preserve">  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