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9AD1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Methods</w:t>
      </w:r>
    </w:p>
    <w:p w14:paraId="4A2D4F5E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Design:</w:t>
      </w:r>
      <w:r w:rsidRPr="002267C9">
        <w:t xml:space="preserve"> Prospective, open-label, randomized, controlled, non-inferiority trial.</w:t>
      </w:r>
    </w:p>
    <w:p w14:paraId="474AA456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Allocation concealment:</w:t>
      </w:r>
      <w:r w:rsidRPr="002267C9">
        <w:t xml:space="preserve"> Computer-generated sequence with randomly varying block size.</w:t>
      </w:r>
    </w:p>
    <w:p w14:paraId="158F5342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Blinding:</w:t>
      </w:r>
      <w:r w:rsidRPr="002267C9">
        <w:t xml:space="preserve"> Individuals assessing endpoints were blinded; participants and physicians were aware (</w:t>
      </w:r>
      <w:proofErr w:type="gramStart"/>
      <w:r w:rsidRPr="002267C9">
        <w:t>open-label</w:t>
      </w:r>
      <w:proofErr w:type="gramEnd"/>
      <w:r w:rsidRPr="002267C9">
        <w:t>).</w:t>
      </w:r>
    </w:p>
    <w:p w14:paraId="3679C08D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Follow-up duration:</w:t>
      </w:r>
      <w:r w:rsidRPr="002267C9">
        <w:t xml:space="preserve"> 12 months.</w:t>
      </w:r>
    </w:p>
    <w:p w14:paraId="77DCB630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Setting:</w:t>
      </w:r>
      <w:r w:rsidRPr="002267C9">
        <w:t xml:space="preserve"> Single academic medical centre in the USA.</w:t>
      </w:r>
    </w:p>
    <w:p w14:paraId="69464EE3" w14:textId="77777777" w:rsidR="002267C9" w:rsidRPr="002267C9" w:rsidRDefault="002267C9" w:rsidP="002267C9">
      <w:pPr>
        <w:numPr>
          <w:ilvl w:val="1"/>
          <w:numId w:val="1"/>
        </w:numPr>
      </w:pPr>
      <w:r w:rsidRPr="002267C9">
        <w:rPr>
          <w:b/>
          <w:bCs/>
        </w:rPr>
        <w:t>Sample size:</w:t>
      </w:r>
      <w:r w:rsidRPr="002267C9">
        <w:t xml:space="preserve"> 50 postmenopausal women.</w:t>
      </w:r>
    </w:p>
    <w:p w14:paraId="494D599E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Population Inclusion:</w:t>
      </w:r>
      <w:r w:rsidRPr="002267C9">
        <w:t xml:space="preserve"> Postmenopausal women aged 45+ at high risk of fracture (BMD T score ≤ –2.5 or previous fragility fracture).</w:t>
      </w:r>
    </w:p>
    <w:p w14:paraId="3773E59B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Key Exclusions:</w:t>
      </w:r>
      <w:r w:rsidRPr="002267C9">
        <w:t xml:space="preserve"> Recent bisphosphonate/denosumab use, history of MI or stroke within 1 year, and chronic kidney disease stage 4 or 5.</w:t>
      </w:r>
    </w:p>
    <w:p w14:paraId="743C31AA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Intervention:</w:t>
      </w:r>
      <w:r w:rsidRPr="002267C9">
        <w:t xml:space="preserve"> 3 months </w:t>
      </w:r>
      <w:proofErr w:type="spellStart"/>
      <w:r w:rsidRPr="002267C9">
        <w:t>romosozumab</w:t>
      </w:r>
      <w:proofErr w:type="spellEnd"/>
      <w:r w:rsidRPr="002267C9">
        <w:t xml:space="preserve"> (210 mg monthly) followed by 9 months denosumab (60 mg every 6 months).</w:t>
      </w:r>
    </w:p>
    <w:p w14:paraId="444A361A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Comparator:</w:t>
      </w:r>
      <w:r w:rsidRPr="002267C9">
        <w:t xml:space="preserve"> 12 months of </w:t>
      </w:r>
      <w:proofErr w:type="spellStart"/>
      <w:r w:rsidRPr="002267C9">
        <w:t>romosozumab</w:t>
      </w:r>
      <w:proofErr w:type="spellEnd"/>
      <w:r w:rsidRPr="002267C9">
        <w:t xml:space="preserve"> (210 mg monthly).</w:t>
      </w:r>
    </w:p>
    <w:p w14:paraId="6E0A5A49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Primary Outcome:</w:t>
      </w:r>
      <w:r w:rsidRPr="002267C9">
        <w:t xml:space="preserve"> Percentage change in total hip bone mineral density (BMD) at 12 months.</w:t>
      </w:r>
    </w:p>
    <w:p w14:paraId="1E36905E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Secondary Outcomes:</w:t>
      </w:r>
      <w:r w:rsidRPr="002267C9">
        <w:t xml:space="preserve"> BMD of femoral neck and lumbar spine, bone turnover markers (CTX and P1NP), and safety.</w:t>
      </w:r>
    </w:p>
    <w:p w14:paraId="2E4D24B7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Patient Follow-up:</w:t>
      </w:r>
      <w:r w:rsidRPr="002267C9">
        <w:t xml:space="preserve"> 94% (47 of 50) completed the 12-month visit.</w:t>
      </w:r>
    </w:p>
    <w:p w14:paraId="60864DA8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Intention to Treat Analysis:</w:t>
      </w:r>
      <w:r w:rsidRPr="002267C9">
        <w:t xml:space="preserve"> Yes (modified ITT).</w:t>
      </w:r>
    </w:p>
    <w:p w14:paraId="1B5E0352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Baseline Characteristics:</w:t>
      </w:r>
      <w:r w:rsidRPr="002267C9">
        <w:t xml:space="preserve"> Mean age 69.6 years (SD 4.5); BMI 23.5 kg/m²; most participants (94%) were White.</w:t>
      </w:r>
    </w:p>
    <w:p w14:paraId="00B219BD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Sources of funding:</w:t>
      </w:r>
      <w:r w:rsidRPr="002267C9">
        <w:t xml:space="preserve"> NIAMS and US National </w:t>
      </w:r>
      <w:proofErr w:type="spellStart"/>
      <w:r w:rsidRPr="002267C9">
        <w:t>Center</w:t>
      </w:r>
      <w:proofErr w:type="spellEnd"/>
      <w:r w:rsidRPr="002267C9">
        <w:t xml:space="preserve"> for Advancing Translational Science.</w:t>
      </w:r>
    </w:p>
    <w:p w14:paraId="4B921CEF" w14:textId="77777777" w:rsidR="002267C9" w:rsidRPr="002267C9" w:rsidRDefault="002267C9" w:rsidP="002267C9">
      <w:pPr>
        <w:numPr>
          <w:ilvl w:val="0"/>
          <w:numId w:val="1"/>
        </w:numPr>
      </w:pPr>
      <w:r w:rsidRPr="002267C9">
        <w:rPr>
          <w:b/>
          <w:bCs/>
        </w:rPr>
        <w:t>Conclusion:</w:t>
      </w:r>
      <w:r w:rsidRPr="002267C9">
        <w:t xml:space="preserve"> 3 months of </w:t>
      </w:r>
      <w:proofErr w:type="spellStart"/>
      <w:r w:rsidRPr="002267C9">
        <w:t>romosozumab</w:t>
      </w:r>
      <w:proofErr w:type="spellEnd"/>
      <w:r w:rsidRPr="002267C9">
        <w:t xml:space="preserve"> followed by 9 months of denosumab was non-inferior to 12 months of </w:t>
      </w:r>
      <w:proofErr w:type="spellStart"/>
      <w:r w:rsidRPr="002267C9">
        <w:t>romosozumab</w:t>
      </w:r>
      <w:proofErr w:type="spellEnd"/>
      <w:r w:rsidRPr="002267C9">
        <w:t xml:space="preserve"> in increasing total hip BMD.</w:t>
      </w:r>
    </w:p>
    <w:p w14:paraId="3F6CDC49" w14:textId="77777777" w:rsidR="002267C9" w:rsidRPr="002267C9" w:rsidRDefault="002267C9" w:rsidP="002267C9">
      <w:r w:rsidRPr="002267C9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773"/>
        <w:gridCol w:w="935"/>
        <w:gridCol w:w="1270"/>
        <w:gridCol w:w="1310"/>
        <w:gridCol w:w="2204"/>
      </w:tblGrid>
      <w:tr w:rsidR="002267C9" w:rsidRPr="002267C9" w14:paraId="401AC037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E4BAB32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lastRenderedPageBreak/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7F36C5D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0910566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t>Time Point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688FD30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t>3-month ROMO 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065D9D4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t>12-month ROMO 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E62671F" w14:textId="77777777" w:rsidR="002267C9" w:rsidRPr="002267C9" w:rsidRDefault="002267C9" w:rsidP="002267C9">
            <w:pPr>
              <w:rPr>
                <w:b/>
                <w:bCs/>
              </w:rPr>
            </w:pPr>
            <w:r w:rsidRPr="002267C9">
              <w:rPr>
                <w:b/>
                <w:bCs/>
              </w:rPr>
              <w:t>Comparison (Difference)</w:t>
            </w:r>
          </w:p>
        </w:tc>
      </w:tr>
      <w:tr w:rsidR="002267C9" w:rsidRPr="002267C9" w14:paraId="3A28CF86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4CE169" w14:textId="77777777" w:rsidR="002267C9" w:rsidRPr="002267C9" w:rsidRDefault="002267C9" w:rsidP="002267C9">
            <w:r w:rsidRPr="002267C9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705468" w14:textId="77777777" w:rsidR="002267C9" w:rsidRPr="002267C9" w:rsidRDefault="002267C9" w:rsidP="002267C9">
            <w:r w:rsidRPr="002267C9">
              <w:t>Total hip BMD change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62FCC4" w14:textId="77777777" w:rsidR="002267C9" w:rsidRPr="002267C9" w:rsidRDefault="002267C9" w:rsidP="002267C9">
            <w:r w:rsidRPr="002267C9">
              <w:t>12 months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879CA9" w14:textId="77777777" w:rsidR="002267C9" w:rsidRPr="002267C9" w:rsidRDefault="002267C9" w:rsidP="002267C9">
            <w:r w:rsidRPr="002267C9">
              <w:t>5.7% (SD 3.3)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91AE61" w14:textId="77777777" w:rsidR="002267C9" w:rsidRPr="002267C9" w:rsidRDefault="002267C9" w:rsidP="002267C9">
            <w:r w:rsidRPr="002267C9">
              <w:t>6.0% (SD 3.2)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DB6E71" w14:textId="77777777" w:rsidR="002267C9" w:rsidRPr="002267C9" w:rsidRDefault="002267C9" w:rsidP="002267C9">
            <w:r w:rsidRPr="002267C9">
              <w:t>met non-inferiority (90% CI: –1.2 to 1.9)</w:t>
            </w:r>
          </w:p>
        </w:tc>
      </w:tr>
      <w:tr w:rsidR="002267C9" w:rsidRPr="002267C9" w14:paraId="3FC8270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AAE25CA" w14:textId="77777777" w:rsidR="002267C9" w:rsidRPr="002267C9" w:rsidRDefault="002267C9" w:rsidP="002267C9">
            <w:r w:rsidRPr="002267C9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EC959F" w14:textId="77777777" w:rsidR="002267C9" w:rsidRPr="002267C9" w:rsidRDefault="002267C9" w:rsidP="002267C9">
            <w:r w:rsidRPr="002267C9">
              <w:t>Lumbar spine BMD change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034A312" w14:textId="77777777" w:rsidR="002267C9" w:rsidRPr="002267C9" w:rsidRDefault="002267C9" w:rsidP="002267C9">
            <w:r w:rsidRPr="002267C9">
              <w:t>12 months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E60A6C1" w14:textId="77777777" w:rsidR="002267C9" w:rsidRPr="002267C9" w:rsidRDefault="002267C9" w:rsidP="002267C9">
            <w:r w:rsidRPr="002267C9">
              <w:t>10.6% (5.4)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EA2351" w14:textId="77777777" w:rsidR="002267C9" w:rsidRPr="002267C9" w:rsidRDefault="002267C9" w:rsidP="002267C9">
            <w:r w:rsidRPr="002267C9">
              <w:t>12.5% (4.4)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598ECE" w14:textId="77777777" w:rsidR="002267C9" w:rsidRPr="002267C9" w:rsidRDefault="002267C9" w:rsidP="002267C9">
            <w:r w:rsidRPr="002267C9">
              <w:t>p = 0.184</w:t>
            </w:r>
          </w:p>
        </w:tc>
      </w:tr>
      <w:tr w:rsidR="002267C9" w:rsidRPr="002267C9" w14:paraId="3DDCB94A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8E78EE" w14:textId="77777777" w:rsidR="002267C9" w:rsidRPr="002267C9" w:rsidRDefault="002267C9" w:rsidP="002267C9">
            <w:r w:rsidRPr="002267C9">
              <w:rPr>
                <w:b/>
                <w:bCs/>
              </w:rPr>
              <w:t>Secondary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C23B8D" w14:textId="77777777" w:rsidR="002267C9" w:rsidRPr="002267C9" w:rsidRDefault="002267C9" w:rsidP="002267C9">
            <w:r w:rsidRPr="002267C9">
              <w:t xml:space="preserve">Bone fracture during </w:t>
            </w:r>
            <w:proofErr w:type="spellStart"/>
            <w:r w:rsidRPr="002267C9">
              <w:t>tx</w:t>
            </w:r>
            <w:proofErr w:type="spell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67331B7" w14:textId="77777777" w:rsidR="002267C9" w:rsidRPr="002267C9" w:rsidRDefault="002267C9" w:rsidP="002267C9">
            <w:r w:rsidRPr="002267C9">
              <w:t>12 months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471ABC" w14:textId="77777777" w:rsidR="002267C9" w:rsidRPr="002267C9" w:rsidRDefault="002267C9" w:rsidP="002267C9">
            <w:r w:rsidRPr="002267C9">
              <w:t>3 (13%)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D9A11F" w14:textId="77777777" w:rsidR="002267C9" w:rsidRPr="002267C9" w:rsidRDefault="002267C9" w:rsidP="002267C9">
            <w:r w:rsidRPr="002267C9">
              <w:t>1 (4%)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0701CC" w14:textId="77777777" w:rsidR="002267C9" w:rsidRPr="002267C9" w:rsidRDefault="002267C9" w:rsidP="002267C9">
            <w:r w:rsidRPr="002267C9">
              <w:t>Not statistically tested (small sample)</w:t>
            </w:r>
          </w:p>
        </w:tc>
      </w:tr>
    </w:tbl>
    <w:p w14:paraId="33BF261C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E1D52"/>
    <w:multiLevelType w:val="multilevel"/>
    <w:tmpl w:val="29C8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00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C9"/>
    <w:rsid w:val="002267C9"/>
    <w:rsid w:val="002A770D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1265"/>
  <w15:chartTrackingRefBased/>
  <w15:docId w15:val="{CDAAC5ED-5E1C-453E-8B29-9E185D90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1629</Characters>
  <Application>Microsoft Office Word</Application>
  <DocSecurity>0</DocSecurity>
  <Lines>13</Lines>
  <Paragraphs>3</Paragraphs>
  <ScaleCrop>false</ScaleCrop>
  <Company>Birmingham City University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2026-06-02T15:29:00Z</dcterms:created>
  <dcterms:modified xsi:type="dcterms:W3CDTF">2026-06-02T15:29:00Z</dcterms:modified>
</cp:coreProperties>
</file>