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3120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Methods</w:t>
      </w:r>
    </w:p>
    <w:p w14:paraId="02BB9ED3" w14:textId="77777777" w:rsidR="00877ED6" w:rsidRPr="00877ED6" w:rsidRDefault="00877ED6" w:rsidP="00877ED6">
      <w:pPr>
        <w:numPr>
          <w:ilvl w:val="1"/>
          <w:numId w:val="1"/>
        </w:numPr>
      </w:pPr>
      <w:r w:rsidRPr="00877ED6">
        <w:rPr>
          <w:b/>
          <w:bCs/>
        </w:rPr>
        <w:t>Design:</w:t>
      </w:r>
      <w:r w:rsidRPr="00877ED6">
        <w:t xml:space="preserve"> Nationwide cohort study with sibling control analysis.</w:t>
      </w:r>
    </w:p>
    <w:p w14:paraId="72C8C46A" w14:textId="77777777" w:rsidR="00877ED6" w:rsidRPr="00877ED6" w:rsidRDefault="00877ED6" w:rsidP="00877ED6">
      <w:pPr>
        <w:numPr>
          <w:ilvl w:val="1"/>
          <w:numId w:val="1"/>
        </w:numPr>
      </w:pPr>
      <w:r w:rsidRPr="00877ED6">
        <w:rPr>
          <w:b/>
          <w:bCs/>
        </w:rPr>
        <w:t>Blinding:</w:t>
      </w:r>
      <w:r w:rsidRPr="00877ED6">
        <w:t xml:space="preserve"> N/A.</w:t>
      </w:r>
    </w:p>
    <w:p w14:paraId="1B240675" w14:textId="77777777" w:rsidR="00877ED6" w:rsidRPr="00877ED6" w:rsidRDefault="00877ED6" w:rsidP="00877ED6">
      <w:pPr>
        <w:numPr>
          <w:ilvl w:val="1"/>
          <w:numId w:val="1"/>
        </w:numPr>
      </w:pPr>
      <w:r w:rsidRPr="00877ED6">
        <w:rPr>
          <w:b/>
          <w:bCs/>
        </w:rPr>
        <w:t>Follow-up duration:</w:t>
      </w:r>
      <w:r w:rsidRPr="00877ED6">
        <w:t xml:space="preserve"> Birth through December 31, 2021 (up to 26 years).</w:t>
      </w:r>
    </w:p>
    <w:p w14:paraId="501868EE" w14:textId="77777777" w:rsidR="00877ED6" w:rsidRPr="00877ED6" w:rsidRDefault="00877ED6" w:rsidP="00877ED6">
      <w:pPr>
        <w:numPr>
          <w:ilvl w:val="1"/>
          <w:numId w:val="1"/>
        </w:numPr>
      </w:pPr>
      <w:r w:rsidRPr="00877ED6">
        <w:rPr>
          <w:b/>
          <w:bCs/>
        </w:rPr>
        <w:t>Setting:</w:t>
      </w:r>
      <w:r w:rsidRPr="00877ED6">
        <w:t xml:space="preserve"> Nationwide, Sweden.</w:t>
      </w:r>
    </w:p>
    <w:p w14:paraId="537E55AA" w14:textId="77777777" w:rsidR="00877ED6" w:rsidRPr="00877ED6" w:rsidRDefault="00877ED6" w:rsidP="00877ED6">
      <w:pPr>
        <w:numPr>
          <w:ilvl w:val="1"/>
          <w:numId w:val="1"/>
        </w:numPr>
      </w:pPr>
      <w:r w:rsidRPr="00877ED6">
        <w:rPr>
          <w:b/>
          <w:bCs/>
        </w:rPr>
        <w:t>Sample size:</w:t>
      </w:r>
      <w:r w:rsidRPr="00877ED6">
        <w:t xml:space="preserve"> 2,480,797 children.</w:t>
      </w:r>
    </w:p>
    <w:p w14:paraId="30A9477B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Population Inclusion:</w:t>
      </w:r>
      <w:r w:rsidRPr="00877ED6">
        <w:t xml:space="preserve"> Singleton liveborn children in Sweden born between 1995 and 2019.</w:t>
      </w:r>
    </w:p>
    <w:p w14:paraId="692802A9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Key Exclusions:</w:t>
      </w:r>
      <w:r w:rsidRPr="00877ED6">
        <w:t xml:space="preserve"> Missing birthing parent birth country, age, region, or household education/income.</w:t>
      </w:r>
    </w:p>
    <w:p w14:paraId="3EFB0A73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Intervention:</w:t>
      </w:r>
      <w:r w:rsidRPr="00877ED6">
        <w:t xml:space="preserve"> Ever-use of acetaminophen during pregnancy.</w:t>
      </w:r>
    </w:p>
    <w:p w14:paraId="3FCCBDB0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Comparator:</w:t>
      </w:r>
      <w:r w:rsidRPr="00877ED6">
        <w:t xml:space="preserve"> No use of acetaminophen during pregnancy.</w:t>
      </w:r>
    </w:p>
    <w:p w14:paraId="2C95CF99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Primary Outcome:</w:t>
      </w:r>
      <w:r w:rsidRPr="00877ED6">
        <w:t xml:space="preserve"> Clinical diagnosis of autism, ADHD, or intellectual disability.</w:t>
      </w:r>
    </w:p>
    <w:p w14:paraId="0A49DF13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Secondary Outcomes:</w:t>
      </w:r>
      <w:r w:rsidRPr="00877ED6">
        <w:t xml:space="preserve"> Dose-response patterns based on mean daily acetaminophen dose.</w:t>
      </w:r>
    </w:p>
    <w:p w14:paraId="4EFFA21C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Patient Follow-up:</w:t>
      </w:r>
      <w:r w:rsidRPr="00877ED6">
        <w:t xml:space="preserve"> Median 13.4 years.</w:t>
      </w:r>
    </w:p>
    <w:p w14:paraId="3FFAED94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Intention to Treat Analysis:</w:t>
      </w:r>
      <w:r w:rsidRPr="00877ED6">
        <w:t xml:space="preserve"> N/A (Observational).</w:t>
      </w:r>
    </w:p>
    <w:p w14:paraId="187925B4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Baseline Characteristics:</w:t>
      </w:r>
      <w:r w:rsidRPr="00877ED6">
        <w:t xml:space="preserve"> 7.49% (185,909) exposed to acetaminophen; table includes birthing parent socioeconomic and health info.</w:t>
      </w:r>
    </w:p>
    <w:p w14:paraId="7AA8232F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Sources of funding:</w:t>
      </w:r>
      <w:r w:rsidRPr="00877ED6">
        <w:t xml:space="preserve"> National Institutes of Health/NINDS.</w:t>
      </w:r>
    </w:p>
    <w:p w14:paraId="1F5AB624" w14:textId="77777777" w:rsidR="00877ED6" w:rsidRPr="00877ED6" w:rsidRDefault="00877ED6" w:rsidP="00877ED6">
      <w:pPr>
        <w:numPr>
          <w:ilvl w:val="0"/>
          <w:numId w:val="1"/>
        </w:numPr>
      </w:pPr>
      <w:r w:rsidRPr="00877ED6">
        <w:rPr>
          <w:b/>
          <w:bCs/>
        </w:rPr>
        <w:t>Conclusion:</w:t>
      </w:r>
      <w:r w:rsidRPr="00877ED6">
        <w:t xml:space="preserve"> In sibling control analyses, acetaminophen use during pregnancy was not associated with child neurodevelopmental disorders, suggesting prior associations were due to confounding.</w:t>
      </w:r>
    </w:p>
    <w:p w14:paraId="760A447D" w14:textId="77777777" w:rsidR="00877ED6" w:rsidRPr="00877ED6" w:rsidRDefault="00877ED6" w:rsidP="00877ED6">
      <w:r w:rsidRPr="00877ED6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03"/>
        <w:gridCol w:w="1094"/>
        <w:gridCol w:w="1351"/>
        <w:gridCol w:w="1323"/>
        <w:gridCol w:w="2005"/>
      </w:tblGrid>
      <w:tr w:rsidR="00877ED6" w:rsidRPr="00877ED6" w14:paraId="32844B00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2F25F35" w14:textId="77777777" w:rsidR="00877ED6" w:rsidRPr="00877ED6" w:rsidRDefault="00877ED6" w:rsidP="00877ED6">
            <w:pPr>
              <w:rPr>
                <w:b/>
                <w:bCs/>
              </w:rPr>
            </w:pPr>
            <w:r w:rsidRPr="00877ED6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73B2808" w14:textId="77777777" w:rsidR="00877ED6" w:rsidRPr="00877ED6" w:rsidRDefault="00877ED6" w:rsidP="00877ED6">
            <w:pPr>
              <w:rPr>
                <w:b/>
                <w:bCs/>
              </w:rPr>
            </w:pPr>
            <w:r w:rsidRPr="00877ED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37B8218" w14:textId="77777777" w:rsidR="00877ED6" w:rsidRPr="00877ED6" w:rsidRDefault="00877ED6" w:rsidP="00877ED6">
            <w:pPr>
              <w:rPr>
                <w:b/>
                <w:bCs/>
              </w:rPr>
            </w:pPr>
            <w:r w:rsidRPr="00877ED6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43A8C43" w14:textId="77777777" w:rsidR="00877ED6" w:rsidRPr="00877ED6" w:rsidRDefault="00877ED6" w:rsidP="00877ED6">
            <w:pPr>
              <w:rPr>
                <w:b/>
                <w:bCs/>
              </w:rPr>
            </w:pPr>
            <w:r w:rsidRPr="00877ED6">
              <w:rPr>
                <w:b/>
                <w:bCs/>
              </w:rPr>
              <w:t>Hazard Ratio (Pop.)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523D35C" w14:textId="77777777" w:rsidR="00877ED6" w:rsidRPr="00877ED6" w:rsidRDefault="00877ED6" w:rsidP="00877ED6">
            <w:pPr>
              <w:rPr>
                <w:b/>
                <w:bCs/>
              </w:rPr>
            </w:pPr>
            <w:r w:rsidRPr="00877ED6">
              <w:rPr>
                <w:b/>
                <w:bCs/>
              </w:rPr>
              <w:t>Hazard Ratio (Sib.)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A705547" w14:textId="77777777" w:rsidR="00877ED6" w:rsidRPr="00877ED6" w:rsidRDefault="00877ED6" w:rsidP="00877ED6">
            <w:pPr>
              <w:rPr>
                <w:b/>
                <w:bCs/>
              </w:rPr>
            </w:pPr>
            <w:r w:rsidRPr="00877ED6">
              <w:rPr>
                <w:b/>
                <w:bCs/>
              </w:rPr>
              <w:t>Conclusion</w:t>
            </w:r>
          </w:p>
        </w:tc>
      </w:tr>
      <w:tr w:rsidR="00877ED6" w:rsidRPr="00877ED6" w14:paraId="373B5EBC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3E2069" w14:textId="77777777" w:rsidR="00877ED6" w:rsidRPr="00877ED6" w:rsidRDefault="00877ED6" w:rsidP="00877ED6">
            <w:r w:rsidRPr="00877ED6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6E14B8" w14:textId="77777777" w:rsidR="00877ED6" w:rsidRPr="00877ED6" w:rsidRDefault="00877ED6" w:rsidP="00877ED6">
            <w:r w:rsidRPr="00877ED6">
              <w:t>Risk of Autism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41D8FA3" w14:textId="77777777" w:rsidR="00877ED6" w:rsidRPr="00877ED6" w:rsidRDefault="00877ED6" w:rsidP="00877ED6">
            <w:r w:rsidRPr="00877ED6">
              <w:t>Ever-use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D1C5448" w14:textId="77777777" w:rsidR="00877ED6" w:rsidRPr="00877ED6" w:rsidRDefault="00877ED6" w:rsidP="00877ED6">
            <w:r w:rsidRPr="00877ED6">
              <w:t>1.05 (1.02–1.08)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DA0F92" w14:textId="77777777" w:rsidR="00877ED6" w:rsidRPr="00877ED6" w:rsidRDefault="00877ED6" w:rsidP="00877ED6">
            <w:r w:rsidRPr="00877ED6">
              <w:t>0.98 (0.93–1.04)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2941D77" w14:textId="77777777" w:rsidR="00877ED6" w:rsidRPr="00877ED6" w:rsidRDefault="00877ED6" w:rsidP="00877ED6">
            <w:r w:rsidRPr="00877ED6">
              <w:t>Non-significant in siblings</w:t>
            </w:r>
          </w:p>
        </w:tc>
      </w:tr>
      <w:tr w:rsidR="00877ED6" w:rsidRPr="00877ED6" w14:paraId="67085018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AE198D" w14:textId="77777777" w:rsidR="00877ED6" w:rsidRPr="00877ED6" w:rsidRDefault="00877ED6" w:rsidP="00877ED6">
            <w:r w:rsidRPr="00877ED6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172C75" w14:textId="77777777" w:rsidR="00877ED6" w:rsidRPr="00877ED6" w:rsidRDefault="00877ED6" w:rsidP="00877ED6">
            <w:r w:rsidRPr="00877ED6">
              <w:t>Risk of ADHD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11769E" w14:textId="77777777" w:rsidR="00877ED6" w:rsidRPr="00877ED6" w:rsidRDefault="00877ED6" w:rsidP="00877ED6">
            <w:r w:rsidRPr="00877ED6">
              <w:t>Ever-use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007DBE" w14:textId="77777777" w:rsidR="00877ED6" w:rsidRPr="00877ED6" w:rsidRDefault="00877ED6" w:rsidP="00877ED6">
            <w:r w:rsidRPr="00877ED6">
              <w:t>1.07 (1.05–1.10)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E49C8A" w14:textId="77777777" w:rsidR="00877ED6" w:rsidRPr="00877ED6" w:rsidRDefault="00877ED6" w:rsidP="00877ED6">
            <w:r w:rsidRPr="00877ED6">
              <w:t>0.98 (0.94–1.02)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565505" w14:textId="77777777" w:rsidR="00877ED6" w:rsidRPr="00877ED6" w:rsidRDefault="00877ED6" w:rsidP="00877ED6">
            <w:r w:rsidRPr="00877ED6">
              <w:t>Non-significant in siblings</w:t>
            </w:r>
          </w:p>
        </w:tc>
      </w:tr>
      <w:tr w:rsidR="00877ED6" w:rsidRPr="00877ED6" w14:paraId="1CB468DE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4F59A29" w14:textId="77777777" w:rsidR="00877ED6" w:rsidRPr="00877ED6" w:rsidRDefault="00877ED6" w:rsidP="00877ED6">
            <w:r w:rsidRPr="00877ED6">
              <w:rPr>
                <w:b/>
                <w:bCs/>
              </w:rPr>
              <w:lastRenderedPageBreak/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27F0E3" w14:textId="77777777" w:rsidR="00877ED6" w:rsidRPr="00877ED6" w:rsidRDefault="00877ED6" w:rsidP="00877ED6">
            <w:r w:rsidRPr="00877ED6">
              <w:t>Autism (High Dose)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050EDB6" w14:textId="77777777" w:rsidR="00877ED6" w:rsidRPr="00877ED6" w:rsidRDefault="00877ED6" w:rsidP="00877ED6">
            <w:r w:rsidRPr="00877ED6">
              <w:t>&gt;430 mg/d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BBC3043" w14:textId="77777777" w:rsidR="00877ED6" w:rsidRPr="00877ED6" w:rsidRDefault="00877ED6" w:rsidP="00877ED6">
            <w:r w:rsidRPr="00877ED6">
              <w:t>1.10 (1.00–1.22)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D946FAD" w14:textId="77777777" w:rsidR="00877ED6" w:rsidRPr="00877ED6" w:rsidRDefault="00877ED6" w:rsidP="00877ED6">
            <w:r w:rsidRPr="00877ED6">
              <w:t>0.88 (0.68–1.14)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8D2AEC" w14:textId="77777777" w:rsidR="00877ED6" w:rsidRPr="00877ED6" w:rsidRDefault="00877ED6" w:rsidP="00877ED6">
            <w:r w:rsidRPr="00877ED6">
              <w:t>No dose-response in siblings</w:t>
            </w:r>
          </w:p>
        </w:tc>
      </w:tr>
    </w:tbl>
    <w:p w14:paraId="676253FE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F4835"/>
    <w:multiLevelType w:val="multilevel"/>
    <w:tmpl w:val="ADD6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70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D6"/>
    <w:rsid w:val="002A770D"/>
    <w:rsid w:val="00877ED6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9DBD"/>
  <w15:chartTrackingRefBased/>
  <w15:docId w15:val="{CA0E5162-192B-4222-8600-DFA1598B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1331</Characters>
  <Application>Microsoft Office Word</Application>
  <DocSecurity>0</DocSecurity>
  <Lines>11</Lines>
  <Paragraphs>3</Paragraphs>
  <ScaleCrop>false</ScaleCrop>
  <Company>Birmingham City University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2026-06-02T15:35:00Z</dcterms:created>
  <dcterms:modified xsi:type="dcterms:W3CDTF">2026-06-02T15:37:00Z</dcterms:modified>
</cp:coreProperties>
</file>