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60F5" w14:textId="2792ACC9" w:rsidR="00FB459E" w:rsidRDefault="00FB459E" w:rsidP="00FB459E">
      <w:r>
        <w:t>Below is an analysis of NVIDIA using Porter’s Five Forces framework. This approach evaluates the competitive forces that shape the industry environment and strategic positioning for NVIDIA, a leader in graphics processing units (GPUs) and AI computing.</w:t>
      </w:r>
    </w:p>
    <w:p w14:paraId="67F82ACD" w14:textId="40FB5F6E" w:rsidR="00FB459E" w:rsidRDefault="00FB459E" w:rsidP="00FB459E">
      <w:r>
        <w:t>---</w:t>
      </w:r>
    </w:p>
    <w:p w14:paraId="21F7E147" w14:textId="19C1D3EB" w:rsidR="00FB459E" w:rsidRPr="00FB459E" w:rsidRDefault="00FB459E" w:rsidP="00FB459E">
      <w:pPr>
        <w:rPr>
          <w:b/>
          <w:bCs/>
          <w:sz w:val="32"/>
          <w:szCs w:val="32"/>
        </w:rPr>
      </w:pPr>
      <w:r w:rsidRPr="00FB459E">
        <w:rPr>
          <w:b/>
          <w:bCs/>
          <w:sz w:val="32"/>
          <w:szCs w:val="32"/>
        </w:rPr>
        <w:t>1. Threat of New Entrants</w:t>
      </w:r>
    </w:p>
    <w:p w14:paraId="3D8A26ED" w14:textId="77777777" w:rsidR="00FB459E" w:rsidRPr="00FB459E" w:rsidRDefault="00FB459E" w:rsidP="00FB459E">
      <w:pPr>
        <w:rPr>
          <w:b/>
          <w:bCs/>
        </w:rPr>
      </w:pPr>
      <w:r w:rsidRPr="00FB459E">
        <w:rPr>
          <w:b/>
          <w:bCs/>
        </w:rPr>
        <w:t>High Capital and Technological Requirements:</w:t>
      </w:r>
    </w:p>
    <w:p w14:paraId="532D66D3" w14:textId="3BEB93A5" w:rsidR="00FB459E" w:rsidRDefault="00FB459E" w:rsidP="00FB459E">
      <w:r>
        <w:t>The semiconductor industry demands substantial investments in R&amp;D, advanced manufacturing capabilities, and intellectual property. NVIDIA’s technological leadership and established research make it challenging for newcomers to match its expertise.</w:t>
      </w:r>
    </w:p>
    <w:p w14:paraId="0FCE8B97" w14:textId="77777777" w:rsidR="00FB459E" w:rsidRPr="00FB459E" w:rsidRDefault="00FB459E" w:rsidP="00FB459E">
      <w:pPr>
        <w:rPr>
          <w:b/>
          <w:bCs/>
        </w:rPr>
      </w:pPr>
      <w:r w:rsidRPr="00FB459E">
        <w:rPr>
          <w:b/>
          <w:bCs/>
        </w:rPr>
        <w:t>Economies of Scale and Brand Strength:</w:t>
      </w:r>
    </w:p>
    <w:p w14:paraId="50FD4C5E" w14:textId="578C0066" w:rsidR="00FB459E" w:rsidRDefault="00FB459E" w:rsidP="00FB459E">
      <w:r>
        <w:t>NVIDIA benefits from significant economies of scale, a strong brand, and a reputation for high-performance products—factors that discourage potential entrants from attempting to compete at a similar level.</w:t>
      </w:r>
    </w:p>
    <w:p w14:paraId="206799DB" w14:textId="77777777" w:rsidR="00FB459E" w:rsidRPr="00FB459E" w:rsidRDefault="00FB459E" w:rsidP="00FB459E">
      <w:pPr>
        <w:rPr>
          <w:b/>
          <w:bCs/>
        </w:rPr>
      </w:pPr>
      <w:r w:rsidRPr="00FB459E">
        <w:rPr>
          <w:b/>
          <w:bCs/>
        </w:rPr>
        <w:t>Conclusion:</w:t>
      </w:r>
    </w:p>
    <w:p w14:paraId="331034C3" w14:textId="3576A22C" w:rsidR="00FB459E" w:rsidRDefault="00FB459E" w:rsidP="00FB459E">
      <w:r>
        <w:t>The threat of new entrants is low due to high entry barriers in terms of technology, capital investment, and brand establishment.</w:t>
      </w:r>
    </w:p>
    <w:p w14:paraId="12BF5CCF" w14:textId="3B292B80" w:rsidR="00FB459E" w:rsidRDefault="00FB459E" w:rsidP="00FB459E">
      <w:r>
        <w:t>---</w:t>
      </w:r>
    </w:p>
    <w:p w14:paraId="1A2AB688" w14:textId="23382F34" w:rsidR="00FB459E" w:rsidRPr="00FB459E" w:rsidRDefault="00FB459E" w:rsidP="00FB459E">
      <w:pPr>
        <w:rPr>
          <w:b/>
          <w:bCs/>
          <w:sz w:val="32"/>
          <w:szCs w:val="32"/>
        </w:rPr>
      </w:pPr>
      <w:r w:rsidRPr="00FB459E">
        <w:rPr>
          <w:b/>
          <w:bCs/>
          <w:sz w:val="32"/>
          <w:szCs w:val="32"/>
        </w:rPr>
        <w:t>2. Bargaining Power of Suppliers</w:t>
      </w:r>
    </w:p>
    <w:p w14:paraId="73A93F18" w14:textId="77777777" w:rsidR="00FB459E" w:rsidRDefault="00FB459E" w:rsidP="00FB459E">
      <w:r>
        <w:t>Dependence on Specialized Components:</w:t>
      </w:r>
    </w:p>
    <w:p w14:paraId="27B1C693" w14:textId="3D77A0BA" w:rsidR="00FB459E" w:rsidRDefault="00FB459E" w:rsidP="00FB459E">
      <w:r>
        <w:t>NVIDIA relies on a limited pool of suppliers for high-end semiconductor materials and advanced manufacturing services (primarily through foundries like TSMC). This reliance can give suppliers moderate power.</w:t>
      </w:r>
    </w:p>
    <w:p w14:paraId="6A1BBAEF" w14:textId="77777777" w:rsidR="00FB459E" w:rsidRDefault="00FB459E" w:rsidP="00FB459E">
      <w:r>
        <w:t>Long-Term Partnerships and Volume Leverage:</w:t>
      </w:r>
    </w:p>
    <w:p w14:paraId="4662F22F" w14:textId="315DDA4F" w:rsidR="00FB459E" w:rsidRDefault="00FB459E" w:rsidP="00FB459E">
      <w:r>
        <w:t>Despite this dependency, NVIDIA’s scale and strategic relationships help mitigate supplier influence. Long-term contracts and high-volume orders further reduce bargaining power.</w:t>
      </w:r>
    </w:p>
    <w:p w14:paraId="5CF1D0DC" w14:textId="77777777" w:rsidR="00FB459E" w:rsidRDefault="00FB459E" w:rsidP="00FB459E">
      <w:r>
        <w:t>Conclusion:</w:t>
      </w:r>
    </w:p>
    <w:p w14:paraId="3A94417B" w14:textId="4FAABC01" w:rsidR="00FB459E" w:rsidRDefault="00FB459E" w:rsidP="00FB459E">
      <w:r>
        <w:t>The bargaining power of suppliers is moderate, as specialized inputs are critical, yet NVIDIA’s purchasing power and strategic partnerships provide some leverage.</w:t>
      </w:r>
    </w:p>
    <w:p w14:paraId="0BC8B4E6" w14:textId="788CE143" w:rsidR="00FB459E" w:rsidRDefault="00FB459E" w:rsidP="00FB459E">
      <w:r>
        <w:t>---</w:t>
      </w:r>
    </w:p>
    <w:p w14:paraId="34BE5B12" w14:textId="63FB4528" w:rsidR="00FB459E" w:rsidRPr="00FB459E" w:rsidRDefault="00FB459E" w:rsidP="00FB459E">
      <w:pPr>
        <w:rPr>
          <w:b/>
          <w:bCs/>
          <w:sz w:val="32"/>
          <w:szCs w:val="32"/>
        </w:rPr>
      </w:pPr>
      <w:r w:rsidRPr="00FB459E">
        <w:rPr>
          <w:b/>
          <w:bCs/>
          <w:sz w:val="32"/>
          <w:szCs w:val="32"/>
        </w:rPr>
        <w:lastRenderedPageBreak/>
        <w:t>3. Bargaining Power of Buyers</w:t>
      </w:r>
    </w:p>
    <w:p w14:paraId="05B8971C" w14:textId="77777777" w:rsidR="00FB459E" w:rsidRDefault="00FB459E" w:rsidP="00FB459E">
      <w:r>
        <w:t>Diverse Customer Base:</w:t>
      </w:r>
    </w:p>
    <w:p w14:paraId="632E9544" w14:textId="399904B8" w:rsidR="00FB459E" w:rsidRDefault="00FB459E" w:rsidP="00FB459E">
      <w:r>
        <w:t>NVIDIA serves a wide range of customers, including gamers, data centers, and professionals in industries like AI, automotive, and high-performance computing. This diversity reduces overall buyer concentration.</w:t>
      </w:r>
    </w:p>
    <w:p w14:paraId="0D2130F1" w14:textId="77777777" w:rsidR="00FB459E" w:rsidRDefault="00FB459E" w:rsidP="00FB459E">
      <w:r>
        <w:t>Differentiated Product Offering:</w:t>
      </w:r>
    </w:p>
    <w:p w14:paraId="59882423" w14:textId="3E56E3FB" w:rsidR="00FB459E" w:rsidRDefault="00FB459E" w:rsidP="00FB459E">
      <w:r>
        <w:t>The company’s advanced GPU technologies and ecosystem create high switching costs for many buyers. However, large enterprises or OEMs may have enough scale to negotiate pricing.</w:t>
      </w:r>
    </w:p>
    <w:p w14:paraId="56DF3BEA" w14:textId="77777777" w:rsidR="00FB459E" w:rsidRDefault="00FB459E" w:rsidP="00FB459E">
      <w:r>
        <w:t>Conclusion:</w:t>
      </w:r>
    </w:p>
    <w:p w14:paraId="4F014745" w14:textId="62C31FF0" w:rsidR="00FB459E" w:rsidRDefault="00FB459E" w:rsidP="00FB459E">
      <w:r>
        <w:t>The bargaining power of buyers is moderate. While the company’s innovative and specialized products limit price sensitivity, certain segments with significant purchasing power can exert pressure.</w:t>
      </w:r>
    </w:p>
    <w:p w14:paraId="5935A1C6" w14:textId="72AD2ACD" w:rsidR="00FB459E" w:rsidRDefault="00FB459E" w:rsidP="00FB459E">
      <w:r>
        <w:t>---</w:t>
      </w:r>
    </w:p>
    <w:p w14:paraId="0FC55E07" w14:textId="784FFAE6" w:rsidR="00FB459E" w:rsidRPr="00FB459E" w:rsidRDefault="00FB459E" w:rsidP="00FB459E">
      <w:pPr>
        <w:rPr>
          <w:b/>
          <w:bCs/>
          <w:sz w:val="32"/>
          <w:szCs w:val="32"/>
        </w:rPr>
      </w:pPr>
      <w:r w:rsidRPr="00FB459E">
        <w:rPr>
          <w:b/>
          <w:bCs/>
          <w:sz w:val="32"/>
          <w:szCs w:val="32"/>
        </w:rPr>
        <w:t>4. Threat of Substitute Products or Services</w:t>
      </w:r>
    </w:p>
    <w:p w14:paraId="21B4F767" w14:textId="77777777" w:rsidR="00FB459E" w:rsidRPr="00BB19E1" w:rsidRDefault="00FB459E" w:rsidP="00FB459E">
      <w:pPr>
        <w:rPr>
          <w:b/>
          <w:bCs/>
        </w:rPr>
      </w:pPr>
      <w:r w:rsidRPr="00BB19E1">
        <w:rPr>
          <w:b/>
          <w:bCs/>
        </w:rPr>
        <w:t>Technological Alternatives and Innovation:</w:t>
      </w:r>
    </w:p>
    <w:p w14:paraId="0139CE70" w14:textId="2F593048" w:rsidR="00FB459E" w:rsidRDefault="00FB459E" w:rsidP="00FB459E">
      <w:r>
        <w:t xml:space="preserve">Alternatives to NVIDIA’s </w:t>
      </w:r>
      <w:r w:rsidRPr="00721741">
        <w:rPr>
          <w:b/>
          <w:bCs/>
        </w:rPr>
        <w:t>GPUs</w:t>
      </w:r>
      <w:r>
        <w:t xml:space="preserve"> include </w:t>
      </w:r>
      <w:r w:rsidRPr="00721741">
        <w:rPr>
          <w:u w:val="single"/>
        </w:rPr>
        <w:t xml:space="preserve">integrated graphics from CPU manufacturers (e.g., </w:t>
      </w:r>
      <w:r w:rsidRPr="00721741">
        <w:rPr>
          <w:b/>
          <w:bCs/>
          <w:u w:val="single"/>
        </w:rPr>
        <w:t>Intel</w:t>
      </w:r>
      <w:r w:rsidRPr="00721741">
        <w:rPr>
          <w:u w:val="single"/>
        </w:rPr>
        <w:t>)</w:t>
      </w:r>
      <w:r>
        <w:t xml:space="preserve"> and </w:t>
      </w:r>
      <w:r w:rsidRPr="00721741">
        <w:rPr>
          <w:u w:val="single"/>
        </w:rPr>
        <w:t xml:space="preserve">competing solutions from companies like </w:t>
      </w:r>
      <w:r w:rsidRPr="00721741">
        <w:rPr>
          <w:b/>
          <w:bCs/>
          <w:u w:val="single"/>
        </w:rPr>
        <w:t>AMD</w:t>
      </w:r>
      <w:r>
        <w:t xml:space="preserve">. Additionally, emerging </w:t>
      </w:r>
      <w:r w:rsidRPr="00721741">
        <w:rPr>
          <w:u w:val="single"/>
        </w:rPr>
        <w:t xml:space="preserve">computing architectures or </w:t>
      </w:r>
      <w:r w:rsidRPr="00721741">
        <w:rPr>
          <w:b/>
          <w:bCs/>
          <w:u w:val="single"/>
        </w:rPr>
        <w:t>custom AI accelerators</w:t>
      </w:r>
      <w:r w:rsidRPr="00721741">
        <w:rPr>
          <w:u w:val="single"/>
        </w:rPr>
        <w:t xml:space="preserve"> in </w:t>
      </w:r>
      <w:r w:rsidRPr="00721741">
        <w:rPr>
          <w:b/>
          <w:bCs/>
          <w:u w:val="single"/>
        </w:rPr>
        <w:t>data centers</w:t>
      </w:r>
      <w:r>
        <w:t xml:space="preserve"> can serve as substitutes.</w:t>
      </w:r>
    </w:p>
    <w:p w14:paraId="21B150BE" w14:textId="77777777" w:rsidR="00FB459E" w:rsidRPr="00BB19E1" w:rsidRDefault="00FB459E" w:rsidP="00FB459E">
      <w:pPr>
        <w:rPr>
          <w:b/>
          <w:bCs/>
        </w:rPr>
      </w:pPr>
      <w:r w:rsidRPr="00BB19E1">
        <w:rPr>
          <w:b/>
          <w:bCs/>
        </w:rPr>
        <w:t>Ecosystem Lock-In and Performance Edge:</w:t>
      </w:r>
    </w:p>
    <w:p w14:paraId="23D3416E" w14:textId="0B9E1533" w:rsidR="00FB459E" w:rsidRDefault="00FB459E" w:rsidP="00FB459E">
      <w:r>
        <w:t xml:space="preserve">Despite substitutes, NVIDIA’s </w:t>
      </w:r>
      <w:r w:rsidRPr="006F5142">
        <w:rPr>
          <w:b/>
          <w:bCs/>
        </w:rPr>
        <w:t>strong ecosystem</w:t>
      </w:r>
      <w:r>
        <w:t xml:space="preserve"> (</w:t>
      </w:r>
      <w:r w:rsidRPr="006F5142">
        <w:rPr>
          <w:u w:val="single"/>
        </w:rPr>
        <w:t>software frameworks</w:t>
      </w:r>
      <w:r>
        <w:t xml:space="preserve">, </w:t>
      </w:r>
      <w:r w:rsidRPr="006F5142">
        <w:rPr>
          <w:u w:val="single"/>
        </w:rPr>
        <w:t>developer support</w:t>
      </w:r>
      <w:r>
        <w:t xml:space="preserve">, and </w:t>
      </w:r>
      <w:r w:rsidRPr="006F5142">
        <w:rPr>
          <w:u w:val="single"/>
        </w:rPr>
        <w:t>optimized libraries</w:t>
      </w:r>
      <w:r>
        <w:t>) reinforces its competitive edge, making it less vulnerable to switching.</w:t>
      </w:r>
    </w:p>
    <w:p w14:paraId="7A81EEB7" w14:textId="77777777" w:rsidR="00FB459E" w:rsidRPr="00BB19E1" w:rsidRDefault="00FB459E" w:rsidP="00FB459E">
      <w:pPr>
        <w:rPr>
          <w:b/>
          <w:bCs/>
        </w:rPr>
      </w:pPr>
      <w:r w:rsidRPr="00BB19E1">
        <w:rPr>
          <w:b/>
          <w:bCs/>
        </w:rPr>
        <w:t>Conclusion:</w:t>
      </w:r>
    </w:p>
    <w:p w14:paraId="65AFCB31" w14:textId="77777777" w:rsidR="00FB459E" w:rsidRDefault="00FB459E" w:rsidP="00FB459E">
      <w:r>
        <w:t xml:space="preserve">The threat of substitutes is </w:t>
      </w:r>
      <w:r w:rsidRPr="006F5142">
        <w:rPr>
          <w:b/>
          <w:bCs/>
        </w:rPr>
        <w:t>moderate</w:t>
      </w:r>
      <w:r>
        <w:t xml:space="preserve">. While alternatives exist, NVIDIA’s focus on </w:t>
      </w:r>
      <w:r w:rsidRPr="006F5142">
        <w:rPr>
          <w:b/>
          <w:bCs/>
        </w:rPr>
        <w:t>high performance</w:t>
      </w:r>
      <w:r>
        <w:t xml:space="preserve"> and </w:t>
      </w:r>
      <w:r w:rsidRPr="006F5142">
        <w:rPr>
          <w:b/>
          <w:bCs/>
        </w:rPr>
        <w:t>integrated solutions</w:t>
      </w:r>
      <w:r>
        <w:t xml:space="preserve"> helps maintain customer preference.</w:t>
      </w:r>
    </w:p>
    <w:p w14:paraId="222F327E" w14:textId="77777777" w:rsidR="00FB459E" w:rsidRDefault="00FB459E" w:rsidP="00FB459E">
      <w:r>
        <w:t>---</w:t>
      </w:r>
    </w:p>
    <w:p w14:paraId="68A9E372" w14:textId="4A9FED3D" w:rsidR="00FB459E" w:rsidRPr="00FB459E" w:rsidRDefault="00FB459E" w:rsidP="00FB459E">
      <w:pPr>
        <w:rPr>
          <w:b/>
          <w:bCs/>
          <w:sz w:val="32"/>
          <w:szCs w:val="32"/>
        </w:rPr>
      </w:pPr>
      <w:r w:rsidRPr="00FB459E">
        <w:rPr>
          <w:b/>
          <w:bCs/>
          <w:sz w:val="32"/>
          <w:szCs w:val="32"/>
        </w:rPr>
        <w:t>5. Competitive Rivalry within the Industry</w:t>
      </w:r>
    </w:p>
    <w:p w14:paraId="58876953" w14:textId="77777777" w:rsidR="00FB459E" w:rsidRDefault="00FB459E" w:rsidP="00FB459E">
      <w:r>
        <w:lastRenderedPageBreak/>
        <w:t>Intense Market Competition:</w:t>
      </w:r>
    </w:p>
    <w:p w14:paraId="0767C86E" w14:textId="745D2156" w:rsidR="00FB459E" w:rsidRDefault="00FB459E" w:rsidP="00FB459E">
      <w:r>
        <w:t>NVIDIA faces strong competition from other semiconductor giants such as AMD and, increasingly, Intel, especially as these competitors invest in GPU and AI capabilities. This rivalry is intensified by rapid technological advancements and the race to dominate AI and gaming markets.</w:t>
      </w:r>
    </w:p>
    <w:p w14:paraId="3380DB2F" w14:textId="77777777" w:rsidR="00FB459E" w:rsidRDefault="00FB459E" w:rsidP="00FB459E">
      <w:r>
        <w:t>Constant Innovation and Price Pressures:</w:t>
      </w:r>
    </w:p>
    <w:p w14:paraId="5B5C1258" w14:textId="33D4DAD3" w:rsidR="00FB459E" w:rsidRDefault="00FB459E" w:rsidP="00FB459E">
      <w:r>
        <w:t>The pace of innovation in the semiconductor industry means that companies are continuously enhancing product performance, which fuels competitive rivalry. Moreover, pricing strategies and market share battles in segments like gaming and data centers contribute to the competitive intensity.</w:t>
      </w:r>
    </w:p>
    <w:p w14:paraId="76389AFF" w14:textId="77777777" w:rsidR="00FB459E" w:rsidRDefault="00FB459E" w:rsidP="00FB459E">
      <w:r>
        <w:t>Conclusion:</w:t>
      </w:r>
    </w:p>
    <w:p w14:paraId="0A3DBAC6" w14:textId="07DBB0CA" w:rsidR="00FB459E" w:rsidRDefault="00FB459E" w:rsidP="00FB459E">
      <w:r>
        <w:t>Competitive rivalry is high. Continuous innovation and aggressive strategies by competitors necessitate constant product development and market adaptation by NVIDIA.</w:t>
      </w:r>
    </w:p>
    <w:p w14:paraId="2652B53B" w14:textId="1219EA96" w:rsidR="00FB459E" w:rsidRDefault="00FB459E" w:rsidP="00FB459E">
      <w:r>
        <w:t>---</w:t>
      </w:r>
    </w:p>
    <w:p w14:paraId="59B3516A" w14:textId="1D8E5119" w:rsidR="00FB459E" w:rsidRDefault="00FB459E" w:rsidP="00FB459E">
      <w:r>
        <w:t>Overall Assessment</w:t>
      </w:r>
    </w:p>
    <w:p w14:paraId="791840D8" w14:textId="07492E9F" w:rsidR="00FB459E" w:rsidRDefault="00FB459E" w:rsidP="00FB459E">
      <w:r>
        <w:t>NVIDIA’s strategic position is bolstered by its advanced technology, strong brand, and integrated ecosystem, which provide significant advantages over new market entrants and substitute products. However, the company operates in a highly competitive industry, facing moderate supplier and buyer pressures and intense rivalry from established competitors. Maintaining its leadership will depend on continued innovation, strategic partnerships, and adapting to evolving market demands.</w:t>
      </w:r>
    </w:p>
    <w:p w14:paraId="08B96248" w14:textId="327C9A7A" w:rsidR="00F53CD2" w:rsidRDefault="00FB459E" w:rsidP="00FB459E">
      <w:r>
        <w:t>This Porter’s Five Forces analysis illustrates NVIDIA’s current competitive landscape and highlights both its strengths and the challenges it faces in a dynamic and fast-paced industry.</w:t>
      </w:r>
    </w:p>
    <w:sectPr w:rsidR="00F53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D2"/>
    <w:rsid w:val="0015713C"/>
    <w:rsid w:val="006F5142"/>
    <w:rsid w:val="00721741"/>
    <w:rsid w:val="00903219"/>
    <w:rsid w:val="00BB19E1"/>
    <w:rsid w:val="00F53CD2"/>
    <w:rsid w:val="00FB459E"/>
    <w:rsid w:val="00FF0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0579"/>
  <w15:chartTrackingRefBased/>
  <w15:docId w15:val="{4E260CFF-E933-49FA-A550-BAA3FBAFA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CD2"/>
    <w:rPr>
      <w:rFonts w:eastAsiaTheme="majorEastAsia" w:cstheme="majorBidi"/>
      <w:color w:val="272727" w:themeColor="text1" w:themeTint="D8"/>
    </w:rPr>
  </w:style>
  <w:style w:type="paragraph" w:styleId="Title">
    <w:name w:val="Title"/>
    <w:basedOn w:val="Normal"/>
    <w:next w:val="Normal"/>
    <w:link w:val="TitleChar"/>
    <w:uiPriority w:val="10"/>
    <w:qFormat/>
    <w:rsid w:val="00F53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CD2"/>
    <w:pPr>
      <w:spacing w:before="160"/>
      <w:jc w:val="center"/>
    </w:pPr>
    <w:rPr>
      <w:i/>
      <w:iCs/>
      <w:color w:val="404040" w:themeColor="text1" w:themeTint="BF"/>
    </w:rPr>
  </w:style>
  <w:style w:type="character" w:customStyle="1" w:styleId="QuoteChar">
    <w:name w:val="Quote Char"/>
    <w:basedOn w:val="DefaultParagraphFont"/>
    <w:link w:val="Quote"/>
    <w:uiPriority w:val="29"/>
    <w:rsid w:val="00F53CD2"/>
    <w:rPr>
      <w:i/>
      <w:iCs/>
      <w:color w:val="404040" w:themeColor="text1" w:themeTint="BF"/>
    </w:rPr>
  </w:style>
  <w:style w:type="paragraph" w:styleId="ListParagraph">
    <w:name w:val="List Paragraph"/>
    <w:basedOn w:val="Normal"/>
    <w:uiPriority w:val="34"/>
    <w:qFormat/>
    <w:rsid w:val="00F53CD2"/>
    <w:pPr>
      <w:ind w:left="720"/>
      <w:contextualSpacing/>
    </w:pPr>
  </w:style>
  <w:style w:type="character" w:styleId="IntenseEmphasis">
    <w:name w:val="Intense Emphasis"/>
    <w:basedOn w:val="DefaultParagraphFont"/>
    <w:uiPriority w:val="21"/>
    <w:qFormat/>
    <w:rsid w:val="00F53CD2"/>
    <w:rPr>
      <w:i/>
      <w:iCs/>
      <w:color w:val="0F4761" w:themeColor="accent1" w:themeShade="BF"/>
    </w:rPr>
  </w:style>
  <w:style w:type="paragraph" w:styleId="IntenseQuote">
    <w:name w:val="Intense Quote"/>
    <w:basedOn w:val="Normal"/>
    <w:next w:val="Normal"/>
    <w:link w:val="IntenseQuoteChar"/>
    <w:uiPriority w:val="30"/>
    <w:qFormat/>
    <w:rsid w:val="00F53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CD2"/>
    <w:rPr>
      <w:i/>
      <w:iCs/>
      <w:color w:val="0F4761" w:themeColor="accent1" w:themeShade="BF"/>
    </w:rPr>
  </w:style>
  <w:style w:type="character" w:styleId="IntenseReference">
    <w:name w:val="Intense Reference"/>
    <w:basedOn w:val="DefaultParagraphFont"/>
    <w:uiPriority w:val="32"/>
    <w:qFormat/>
    <w:rsid w:val="00F53C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5</cp:revision>
  <dcterms:created xsi:type="dcterms:W3CDTF">2025-03-27T18:06:00Z</dcterms:created>
  <dcterms:modified xsi:type="dcterms:W3CDTF">2025-03-27T19:09:00Z</dcterms:modified>
</cp:coreProperties>
</file>