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IMPLEMENTATION PLAN</w:t>
      </w:r>
    </w:p>
    <w:p>
      <w:pPr>
        <w:spacing w:after="120"/>
      </w:pPr>
      <w:r>
        <w:rPr>
          <w:rFonts w:ascii="Calibri" w:hAnsi="Calibri"/>
          <w:b/>
          <w:color w:val="1F4D78"/>
          <w:sz w:val="48"/>
        </w:rPr>
        <w:t>EstatePermit: Kansas City Permit Management MVP</w:t>
      </w:r>
    </w:p>
    <w:p>
      <w:pPr>
        <w:spacing w:after="320"/>
      </w:pPr>
      <w:r>
        <w:rPr>
          <w:rFonts w:ascii="Calibri" w:hAnsi="Calibri"/>
          <w:b w:val="0"/>
          <w:color w:val="5A626C"/>
          <w:sz w:val="26"/>
        </w:rPr>
        <w:t>A five-step roadmap from permit recommendation to complete operational tracking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Objective: </w:t>
      </w:r>
      <w:r>
        <w:rPr>
          <w:rFonts w:ascii="Calibri" w:hAnsi="Calibri"/>
          <w:b w:val="0"/>
          <w:sz w:val="22"/>
        </w:rPr>
        <w:t>Support one construction project with a coordinated bundle of independently managed permits.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Initial jurisdiction: </w:t>
      </w:r>
      <w:r>
        <w:rPr>
          <w:rFonts w:ascii="Calibri" w:hAnsi="Calibri"/>
          <w:b w:val="0"/>
          <w:sz w:val="22"/>
        </w:rPr>
        <w:t>Kansas City, Missouri (KCMO)</w:t>
      </w:r>
    </w:p>
    <w:p>
      <w:pPr>
        <w:spacing w:after="60"/>
      </w:pPr>
      <w:r>
        <w:rPr>
          <w:rFonts w:ascii="Calibri" w:hAnsi="Calibri"/>
          <w:b/>
          <w:color w:val="1F4D78"/>
          <w:sz w:val="22"/>
        </w:rPr>
        <w:t xml:space="preserve">MVP boundary: </w:t>
      </w:r>
      <w:r>
        <w:rPr>
          <w:rFonts w:ascii="Calibri" w:hAnsi="Calibri"/>
          <w:b w:val="0"/>
          <w:sz w:val="22"/>
        </w:rPr>
        <w:t>Steps 1-3 create the usable MVP; Steps 4-5 complete the operating lifecycle.</w:t>
      </w:r>
    </w:p>
    <w:p>
      <w:pPr>
        <w:pStyle w:val="Heading1"/>
      </w:pPr>
      <w:r>
        <w:t>Product model</w:t>
      </w:r>
    </w:p>
    <w:p>
      <w:r>
        <w:rPr>
          <w:rFonts w:ascii="Calibri" w:hAnsi="Calibri"/>
          <w:b/>
          <w:color w:val="1F4D78"/>
          <w:sz w:val="22"/>
        </w:rPr>
        <w:t xml:space="preserve">Core principle: </w:t>
      </w:r>
      <w:r>
        <w:rPr>
          <w:rFonts w:ascii="Calibri" w:hAnsi="Calibri"/>
          <w:b w:val="0"/>
          <w:sz w:val="22"/>
        </w:rPr>
        <w:t>one project contains one coordinated permit bundle, and every permit remains independently manageable.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3528"/>
        <w:gridCol w:w="3456"/>
      </w:tblGrid>
      <w:tr>
        <w:trPr>
          <w:tblHeader/>
        </w:trPr>
        <w:tc>
          <w:tcPr>
            <w:tcW w:type="dxa" w:w="2376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Project</w:t>
            </w:r>
          </w:p>
        </w:tc>
        <w:tc>
          <w:tcPr>
            <w:tcW w:type="dxa" w:w="3528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Permit bundle</w:t>
            </w:r>
          </w:p>
        </w:tc>
        <w:tc>
          <w:tcPr>
            <w:tcW w:type="dxa" w:w="3456"/>
            <w:shd w:fill="E8EEF5"/>
          </w:tcPr>
          <w:p>
            <w:r>
              <w:rPr>
                <w:rFonts w:ascii="Calibri" w:hAnsi="Calibri"/>
                <w:b/>
                <w:color w:val="1F4D78"/>
                <w:sz w:val="20"/>
              </w:rPr>
              <w:t>Permit records</w:t>
            </w:r>
          </w:p>
        </w:tc>
      </w:tr>
      <w:tr>
        <w:tc>
          <w:tcPr>
            <w:tcW w:type="dxa" w:w="2376"/>
          </w:tcPr>
          <w:p>
            <w:r>
              <w:rPr>
                <w:rFonts w:ascii="Calibri" w:hAnsi="Calibri"/>
                <w:b w:val="0"/>
                <w:sz w:val="20"/>
              </w:rPr>
              <w:t>Address, development type and construction scope</w:t>
            </w:r>
          </w:p>
        </w:tc>
        <w:tc>
          <w:tcPr>
            <w:tcW w:type="dxa" w:w="3528"/>
          </w:tcPr>
          <w:p>
            <w:r>
              <w:rPr>
                <w:rFonts w:ascii="Calibri" w:hAnsi="Calibri"/>
                <w:b w:val="0"/>
                <w:sz w:val="20"/>
              </w:rPr>
              <w:t>All required, likely and optional approvals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sz w:val="20"/>
              </w:rPr>
              <w:t>Status, authority, documents, dependencies and inspections</w:t>
            </w:r>
          </w:p>
        </w:tc>
      </w:tr>
    </w:tbl>
    <w:p>
      <w:pPr>
        <w:pStyle w:val="Heading2"/>
      </w:pPr>
      <w:r>
        <w:t>Permit-centered project flow</w:t>
      </w:r>
    </w:p>
    <w:p>
      <w:r>
        <w:t>Selecting KCMO loads the complete local permit catalog; it does not make every catalog permit required. Project facts, scope, exemptions, dependencies and follow-up questions create an explainable candidate bundle. The user or a qualified reviewer confirms, dismisses or manually adds permits before they become operational records.</w:t>
      </w:r>
    </w:p>
    <w:p>
      <w:r>
        <w:t>Jurisdiction is selected or confirmed for each project. KCMO is the first deeply supported jurisdiction, not a product-wide assumption. The shared project, permit, document, review and lifecycle workflow remains jurisdiction-neutral so another city can be added through its own verified knowledge pack.</w:t>
      </w:r>
    </w:p>
    <w:p>
      <w:pPr>
        <w:pStyle w:val="Heading3"/>
      </w:pPr>
      <w:r>
        <w:t>End-to-end project flow</w:t>
      </w:r>
    </w:p>
    <w:p>
      <w:pPr>
        <w:pStyle w:val="ListNumber"/>
      </w:pPr>
      <w:r>
        <w:t>Create the project; confirm its address, jurisdiction, development type and complete scope.</w:t>
      </w:r>
    </w:p>
    <w:p>
      <w:pPr>
        <w:pStyle w:val="ListNumber"/>
      </w:pPr>
      <w:r>
        <w:t>Load the KCMO catalog and use project facts to generate a candidate permit bundle with reasons and sources.</w:t>
      </w:r>
    </w:p>
    <w:p>
      <w:pPr>
        <w:pStyle w:val="ListNumber"/>
      </w:pPr>
      <w:r>
        <w:t>Confirm, dismiss or add permits, then create one durable ProjectPermit record for each confirmed permit.</w:t>
      </w:r>
    </w:p>
    <w:p>
      <w:pPr>
        <w:pStyle w:val="ListNumber"/>
      </w:pPr>
      <w:r>
        <w:t>Upload shared, unassigned or permit-specific documents and connect them to requirements.</w:t>
      </w:r>
    </w:p>
    <w:p>
      <w:pPr>
        <w:pStyle w:val="ListNumber"/>
      </w:pPr>
      <w:r>
        <w:t>Run Review All Permits or Review This Permit; resolve blockers, warnings and human-review items.</w:t>
      </w:r>
    </w:p>
    <w:p>
      <w:pPr>
        <w:pStyle w:val="ListNumber"/>
      </w:pPr>
      <w:r>
        <w:t>Move clear permits to Ready for Human Review and require approval of a dated reviewed version.</w:t>
      </w:r>
    </w:p>
    <w:p>
      <w:pPr>
        <w:pStyle w:val="ListNumber"/>
      </w:pPr>
      <w:r>
        <w:t>Generate the Submission Readiness Package and hand the user into CompassKC for filing.</w:t>
      </w:r>
    </w:p>
    <w:p>
      <w:pPr>
        <w:pStyle w:val="ListNumber"/>
      </w:pPr>
      <w:r>
        <w:t>Record application numbers and track review, corrections, issuance, inspections and closeout.</w:t>
      </w:r>
    </w:p>
    <w:p>
      <w:pPr>
        <w:pStyle w:val="Heading1"/>
      </w:pPr>
      <w:r>
        <w:t>1. Upgrade intake and add KCMO permit knowledge</w:t>
      </w:r>
    </w:p>
    <w:p>
      <w:r>
        <w:rPr>
          <w:rFonts w:ascii="Calibri" w:hAnsi="Calibri"/>
          <w:b/>
          <w:color w:val="1F4D78"/>
          <w:sz w:val="22"/>
        </w:rPr>
        <w:t xml:space="preserve">Goal: </w:t>
      </w:r>
      <w:r>
        <w:rPr>
          <w:rFonts w:ascii="Calibri" w:hAnsi="Calibri"/>
          <w:b w:val="0"/>
          <w:sz w:val="22"/>
        </w:rPr>
        <w:t>Give the recommendation engine enough structured information to determine the complete permit bundle.</w:t>
      </w:r>
    </w:p>
    <w:p>
      <w:pPr>
        <w:pStyle w:val="Heading2"/>
      </w:pPr>
      <w:r>
        <w:t>Implementation work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Rename Project type to Development type; retain options such as single-family, multifamily, commercial tenant improvement, mixed-use and industrial.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Add structured scope questions for construction activity, structural work, electrical, plumbing, HVAC, fire alarm, sprinklers, signs, demolition, change of use, grading, right-of-way, solar and water/sewer work.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Create the kansas_city_mo knowledge pack with permit types, triggers, authorities, dependencies, required documents and citations.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Confirm municipal jurisdiction from the address and distinguish KCMO from Kansas City, Kansas and surrounding municipalities.</w:t>
      </w:r>
    </w:p>
    <w:p>
      <w:pPr>
        <w:pStyle w:val="ListBullet"/>
      </w:pPr>
      <w:r>
        <w:t>Keep the complete KCMO catalog separate from project applicability: the catalog defines available permits; project facts determine which permits are suggested, required, optional, unresolved or not applicable.</w:t>
      </w:r>
    </w:p>
    <w:p>
      <w:pPr>
        <w:pStyle w:val="ListBullet"/>
      </w:pPr>
      <w:r>
        <w:t>For every supported permit, store its official name and aliases, applicability questions and exemptions, issuing authority, dependencies, required documents, workflow guidance, official portal link, coverage level and last-verified source date.</w:t>
      </w:r>
    </w:p>
    <w:p>
      <w:pPr>
        <w:pStyle w:val="ListBullet"/>
      </w:pPr>
      <w:r>
        <w:t>Keep the shared project and permit workflow jurisdiction-neutral. Load the selected city's catalog, terminology, requirements, sources and portal guidance through a jurisdiction knowledge pack; ship KCMO as the first complete pack.</w:t>
      </w:r>
    </w:p>
    <w:p>
      <w:pPr>
        <w:spacing w:before="80" w:after="160"/>
      </w:pPr>
      <w:r>
        <w:rPr>
          <w:rFonts w:ascii="Calibri" w:hAnsi="Calibri"/>
          <w:b/>
          <w:color w:val="1F4D78"/>
          <w:sz w:val="22"/>
        </w:rPr>
        <w:t xml:space="preserve">Completion outcome: </w:t>
      </w:r>
      <w:r>
        <w:rPr>
          <w:rFonts w:ascii="Calibri" w:hAnsi="Calibri"/>
          <w:b w:val="0"/>
          <w:sz w:val="22"/>
        </w:rPr>
        <w:t>EstatePermit can generate an explainable KCMO permit bundle from normal project intake.</w:t>
      </w:r>
    </w:p>
    <w:p>
      <w:pPr>
        <w:pStyle w:val="Heading1"/>
      </w:pPr>
      <w:r>
        <w:t>2. Create persistent permit records</w:t>
      </w:r>
    </w:p>
    <w:p>
      <w:r>
        <w:rPr>
          <w:rFonts w:ascii="Calibri" w:hAnsi="Calibri"/>
          <w:b/>
          <w:color w:val="1F4D78"/>
          <w:sz w:val="22"/>
        </w:rPr>
        <w:t xml:space="preserve">Goal: </w:t>
      </w:r>
      <w:r>
        <w:rPr>
          <w:rFonts w:ascii="Calibri" w:hAnsi="Calibri"/>
          <w:b w:val="0"/>
          <w:sz w:val="22"/>
        </w:rPr>
        <w:t>Convert temporary analysis recommendations into operational records that survive reruns and user edits.</w:t>
      </w:r>
    </w:p>
    <w:p>
      <w:pPr>
        <w:pStyle w:val="Heading2"/>
      </w:pPr>
      <w:r>
        <w:t>Implementation work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Add a ProjectPermit database entity related to Project.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Store permit type, agency, requirement classification, lifecycle status, parent/dependency relationships, CompassKC number, owner, contractor, fees, dates, blockers and next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Keep requirement status separate from lifecycle status—for example Required versus Submitted.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Allow users to confirm, add or dismiss recommendations without a later analysis overwriting managed records.</w:t>
      </w:r>
    </w:p>
    <w:p>
      <w:pPr>
        <w:pStyle w:val="ListBullet"/>
      </w:pPr>
      <w:r>
        <w:t>Include Blocked and Ready for Human Review in the lifecycle so system analysis, human approval and external submission remain distinct states.</w:t>
      </w:r>
    </w:p>
    <w:p>
      <w:pPr>
        <w:spacing w:before="80" w:after="160"/>
      </w:pPr>
      <w:r>
        <w:rPr>
          <w:rFonts w:ascii="Calibri" w:hAnsi="Calibri"/>
          <w:b/>
          <w:color w:val="1F4D78"/>
          <w:sz w:val="22"/>
        </w:rPr>
        <w:t xml:space="preserve">Completion outcome: </w:t>
      </w:r>
      <w:r>
        <w:rPr>
          <w:rFonts w:ascii="Calibri" w:hAnsi="Calibri"/>
          <w:b w:val="0"/>
          <w:sz w:val="22"/>
        </w:rPr>
        <w:t>Every recommended permit can become a durable, independently managed record.</w:t>
      </w:r>
    </w:p>
    <w:p>
      <w:pPr>
        <w:pStyle w:val="Heading1"/>
      </w:pPr>
      <w:r>
        <w:t>3. Build the Permit Bundle workspace</w:t>
      </w:r>
    </w:p>
    <w:p>
      <w:r>
        <w:rPr>
          <w:rFonts w:ascii="Calibri" w:hAnsi="Calibri"/>
          <w:b/>
          <w:color w:val="1F4D78"/>
          <w:sz w:val="22"/>
        </w:rPr>
        <w:t xml:space="preserve">Goal: </w:t>
      </w:r>
      <w:r>
        <w:rPr>
          <w:rFonts w:ascii="Calibri" w:hAnsi="Calibri"/>
          <w:b w:val="0"/>
          <w:sz w:val="22"/>
        </w:rPr>
        <w:t>Make multi-permit coordination the primary day-to-day experience.</w:t>
      </w:r>
    </w:p>
    <w:p>
      <w:pPr>
        <w:pStyle w:val="Heading2"/>
      </w:pPr>
      <w:r>
        <w:t>Implementation work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Add a permanent Permits tab to each project.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Show permit name, authority, requirement status, lifecycle status, responsible party, dependencies, missing documents and next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Provide a detail view with Overview, Documents, Corrections, Inspections and Activity sections.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Visualize blockers such as an electrical permit waiting on the parent commercial building permit.</w:t>
      </w:r>
    </w:p>
    <w:p>
      <w:pPr>
        <w:pStyle w:val="ListBullet"/>
      </w:pPr>
      <w:r>
        <w:t>Use Overview, Permits, Documents, Review and Activity as the main project navigation. Keep requirements, findings, corrections and inspections attached to the relevant permits while allowing project-level aggregation.</w:t>
      </w:r>
    </w:p>
    <w:p>
      <w:pPr>
        <w:pStyle w:val="ListBullet"/>
      </w:pPr>
      <w:r>
        <w:t>Each permit detail workspace includes Overview, Requirements, Documents, Review findings, Corrections, Inspections and Activity, plus why it applies, its official source, submission route, coverage, readiness, blocker and next action.</w:t>
      </w:r>
    </w:p>
    <w:p>
      <w:pPr>
        <w:pStyle w:val="ListBullet"/>
      </w:pPr>
      <w:r>
        <w:t>Treat zoning, building, fire, site and utilities as review disciplines that evaluate the applicable permits—not as separate customer workflows.</w:t>
      </w:r>
    </w:p>
    <w:p>
      <w:pPr>
        <w:spacing w:before="80" w:after="160"/>
      </w:pPr>
      <w:r>
        <w:rPr>
          <w:rFonts w:ascii="Calibri" w:hAnsi="Calibri"/>
          <w:b/>
          <w:color w:val="1F4D78"/>
          <w:sz w:val="22"/>
        </w:rPr>
        <w:t xml:space="preserve">Completion outcome: </w:t>
      </w:r>
      <w:r>
        <w:rPr>
          <w:rFonts w:ascii="Calibri" w:hAnsi="Calibri"/>
          <w:b w:val="0"/>
          <w:sz w:val="22"/>
        </w:rPr>
        <w:t>Users can manage the entire bundle while updating each permit independently.</w:t>
      </w:r>
    </w:p>
    <w:p>
      <w:pPr>
        <w:pStyle w:val="Heading1"/>
      </w:pPr>
      <w:r>
        <w:t>4. Add document readiness and correction management</w:t>
      </w:r>
    </w:p>
    <w:p>
      <w:r>
        <w:rPr>
          <w:rFonts w:ascii="Calibri" w:hAnsi="Calibri"/>
          <w:b/>
          <w:color w:val="1F4D78"/>
          <w:sz w:val="22"/>
        </w:rPr>
        <w:t xml:space="preserve">Goal: </w:t>
      </w:r>
      <w:r>
        <w:rPr>
          <w:rFonts w:ascii="Calibri" w:hAnsi="Calibri"/>
          <w:b w:val="0"/>
          <w:sz w:val="22"/>
        </w:rPr>
        <w:t>Prevent incomplete submissions and structure the review/resubmission loop.</w:t>
      </w:r>
    </w:p>
    <w:p>
      <w:pPr>
        <w:pStyle w:val="Heading2"/>
      </w:pPr>
      <w:r>
        <w:t>Implementation work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Keep each uploaded file once at project level and link it to one or more permits through PermitDocumentLink.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Generate KCMO-specific document checklists and track required, received, reviewed and accepted states.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Add document versions, reviewer comments, responsible owners, due dates, resolutions and resubmission rounds.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Generate a clear readiness result for every permit and for the overall project.</w:t>
      </w:r>
    </w:p>
    <w:p>
      <w:pPr>
        <w:pStyle w:val="ListBullet"/>
      </w:pPr>
      <w:r>
        <w:t>Support shared project files, permit-specific files and unassigned files. One stored file may satisfy requirements for multiple permits through document links.</w:t>
      </w:r>
    </w:p>
    <w:p>
      <w:pPr>
        <w:pStyle w:val="ListBullet"/>
      </w:pPr>
      <w:r>
        <w:t>Add Review All Permits and Review This Permit. Results are blockers, warnings, passed checks, not-applicable checks or human-review items, each attached to the affected requirement, permit, document or project and backed by a source.</w:t>
      </w:r>
    </w:p>
    <w:p>
      <w:pPr>
        <w:pStyle w:val="Heading2"/>
      </w:pPr>
      <w:r>
        <w:t>Human-review and submission output</w:t>
      </w:r>
    </w:p>
    <w:p>
      <w:pPr>
        <w:pStyle w:val="ListBullet"/>
      </w:pPr>
      <w:r>
        <w:t>When automated checks find no blockers, move the permit to Ready for Human Review—not Submitted or Approved. A reviewer chooses Approve as Ready for Submission or Return for Changes.</w:t>
      </w:r>
    </w:p>
    <w:p>
      <w:pPr>
        <w:pStyle w:val="ListBullet"/>
      </w:pPr>
      <w:r>
        <w:t>Freeze the approved document and project version with reviewer and date. A material change invalidates that snapshot and requires review again.</w:t>
      </w:r>
    </w:p>
    <w:p>
      <w:pPr>
        <w:pStyle w:val="ListBullet"/>
      </w:pPr>
      <w:r>
        <w:t>Generate a Submission Readiness Package: readiness decision, project cover summary, permit register, per-permit checklists, document index, organized ZIP folders, findings and accepted exceptions, reviewer decisions, official sources, CompassKC handoff checklist, application-number fields, readiness PDF and ZIP.</w:t>
      </w:r>
    </w:p>
    <w:p>
      <w:pPr>
        <w:pStyle w:val="ListBullet"/>
      </w:pPr>
      <w:r>
        <w:t>The MVP prepares and organizes the filing package; it does not automatically sign, pay or submit applications.</w:t>
      </w:r>
    </w:p>
    <w:p>
      <w:pPr>
        <w:spacing w:before="80" w:after="160"/>
      </w:pPr>
      <w:r>
        <w:rPr>
          <w:rFonts w:ascii="Calibri" w:hAnsi="Calibri"/>
          <w:b/>
          <w:color w:val="1F4D78"/>
          <w:sz w:val="22"/>
        </w:rPr>
        <w:t xml:space="preserve">Completion outcome: </w:t>
      </w:r>
      <w:r>
        <w:rPr>
          <w:rFonts w:ascii="Calibri" w:hAnsi="Calibri"/>
          <w:b w:val="0"/>
          <w:sz w:val="22"/>
        </w:rPr>
        <w:t>Teams know exactly what is missing and who must resolve each correction.</w:t>
      </w:r>
    </w:p>
    <w:p>
      <w:pPr>
        <w:pStyle w:val="Heading1"/>
      </w:pPr>
      <w:r>
        <w:t>5. Add inspections, completion and portal operations</w:t>
      </w:r>
    </w:p>
    <w:p>
      <w:r>
        <w:rPr>
          <w:rFonts w:ascii="Calibri" w:hAnsi="Calibri"/>
          <w:b/>
          <w:color w:val="1F4D78"/>
          <w:sz w:val="22"/>
        </w:rPr>
        <w:t xml:space="preserve">Goal: </w:t>
      </w:r>
      <w:r>
        <w:rPr>
          <w:rFonts w:ascii="Calibri" w:hAnsi="Calibri"/>
          <w:b w:val="0"/>
          <w:sz w:val="22"/>
        </w:rPr>
        <w:t>Cover the lifecycle from issued permit through final approval and occupancy.</w:t>
      </w:r>
    </w:p>
    <w:p>
      <w:pPr>
        <w:pStyle w:val="Heading2"/>
      </w:pPr>
      <w:r>
        <w:t>Implementation work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Add permit-level inspections with type, requested/scheduled date, result, notes, failed items and reinspection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Track fees, payment state, issuance, expiration, finals and Certificate of Occupancy.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Add CompassKC deep links, manual status-check reminders and a complete activity history.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Treat automated CompassKC synchronization as a later enhancement unless a stable supported integration is available.</w:t>
      </w:r>
    </w:p>
    <w:p>
      <w:pPr>
        <w:pStyle w:val="ListBullet"/>
      </w:pPr>
      <w:r>
        <w:t>After external filing, record the application or permit number, filing date, portal status, assigned reviewer, expected response date and next follow-up on the existing permit record.</w:t>
      </w:r>
    </w:p>
    <w:p>
      <w:pPr>
        <w:spacing w:before="80" w:after="160"/>
      </w:pPr>
      <w:r>
        <w:rPr>
          <w:rFonts w:ascii="Calibri" w:hAnsi="Calibri"/>
          <w:b/>
          <w:color w:val="1F4D78"/>
          <w:sz w:val="22"/>
        </w:rPr>
        <w:t xml:space="preserve">Completion outcome: </w:t>
      </w:r>
      <w:r>
        <w:rPr>
          <w:rFonts w:ascii="Calibri" w:hAnsi="Calibri"/>
          <w:b w:val="0"/>
          <w:sz w:val="22"/>
        </w:rPr>
        <w:t>EstatePermit supports the complete operational lifecycle through final inspection.</w:t>
      </w:r>
    </w:p>
    <w:p>
      <w:pPr>
        <w:pStyle w:val="Heading1"/>
      </w:pPr>
      <w:r>
        <w:t>Recommended delivery gates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Gate 1 — Detection works: representative KCMO projects produce correct, explainable permit bundles.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Gate 2 — Records persist: confirmed permits survive analysis reruns and retain user-entered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Gate 3 — MVP usable: a contractor can create a project, confirm permits, assign work and see blockers.</w:t>
      </w:r>
    </w:p>
    <w:p>
      <w:pPr>
        <w:pStyle w:val="ListBullet"/>
        <w:spacing w:after="80" w:line="300" w:lineRule="auto"/>
      </w:pPr>
      <w:r>
        <w:t>Gate 4: Applications are submission-ready — each permit has an auditable checklist, no unresolved blockers, human approval of a reviewed snapshot, a correction workflow and an exportable Submission Readiness Package.</w:t>
      </w:r>
    </w:p>
    <w:p>
      <w:pPr>
        <w:pStyle w:val="ListBullet"/>
        <w:spacing w:after="80" w:line="300" w:lineRule="auto"/>
      </w:pPr>
      <w:r>
        <w:rPr>
          <w:rFonts w:ascii="Calibri" w:hAnsi="Calibri"/>
          <w:b w:val="0"/>
          <w:sz w:val="22"/>
        </w:rPr>
        <w:t>Gate 5 — Lifecycle complete: issued permits, inspections, finals and occupancy can all be tracked.</w:t>
      </w:r>
    </w:p>
    <w:p>
      <w:pPr>
        <w:spacing w:before="240"/>
      </w:pPr>
      <w:r>
        <w:rPr>
          <w:rFonts w:ascii="Calibri" w:hAnsi="Calibri"/>
          <w:b/>
          <w:color w:val="1F4D78"/>
          <w:sz w:val="22"/>
        </w:rPr>
        <w:t xml:space="preserve">Recommended release boundary: </w:t>
      </w:r>
      <w:r>
        <w:rPr>
          <w:rFonts w:ascii="Calibri" w:hAnsi="Calibri"/>
          <w:b w:val="0"/>
          <w:sz w:val="22"/>
        </w:rPr>
        <w:t>Release the first customer-facing MVP after Step 3, then use live customer projects to prioritize the document and inspection features in Steps 4 and 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26C"/>
        <w:sz w:val="18"/>
      </w:rPr>
      <w:t>Implementation plan  |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A626C"/>
        <w:sz w:val="18"/>
      </w:rPr>
      <w:t>ESTATEPERMIT  /  KANSAS CITY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