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0" w:line="300" w:lineRule="auto"/>
      </w:pPr>
      <w:r>
        <w:rPr>
          <w:rFonts w:ascii="Calibri" w:hAnsi="Calibri"/>
          <w:b w:val="0"/>
          <w:i w:val="0"/>
          <w:color w:val="222222"/>
          <w:sz w:val="22"/>
        </w:rPr>
      </w:r>
    </w:p>
    <w:p>
      <w:pPr>
        <w:spacing w:after="320" w:line="300" w:lineRule="auto"/>
        <w:jc w:val="center"/>
      </w:pPr>
      <w:r>
        <w:rPr>
          <w:rFonts w:ascii="Calibri" w:hAnsi="Calibri"/>
          <w:b/>
          <w:i w:val="0"/>
          <w:color w:val="2E74B5"/>
          <w:sz w:val="21"/>
        </w:rPr>
        <w:t>TECHNICAL PRODUCT PLAN</w:t>
      </w:r>
    </w:p>
    <w:p>
      <w:pPr>
        <w:spacing w:after="180" w:line="300" w:lineRule="auto"/>
        <w:jc w:val="center"/>
      </w:pPr>
      <w:r>
        <w:rPr>
          <w:rFonts w:ascii="Calibri" w:hAnsi="Calibri"/>
          <w:b/>
          <w:i w:val="0"/>
          <w:color w:val="0B2545"/>
          <w:sz w:val="58"/>
        </w:rPr>
        <w:t>PermitOS Implementation Plan</w:t>
      </w:r>
    </w:p>
    <w:p>
      <w:pPr>
        <w:spacing w:after="560" w:line="300" w:lineRule="auto"/>
        <w:jc w:val="center"/>
      </w:pPr>
      <w:r>
        <w:rPr>
          <w:rFonts w:ascii="Calibri" w:hAnsi="Calibri"/>
          <w:b w:val="0"/>
          <w:i w:val="0"/>
          <w:color w:val="1F4D78"/>
          <w:sz w:val="28"/>
        </w:rPr>
        <w:t>Shared permitting core, KCMO-first trade packs, and a credible pilot-ready MVP</w:t>
      </w:r>
    </w:p>
    <w:tbl>
      <w:tblPr>
        <w:tblW w:type="dxa" w:w="9360"/>
        <w:jc w:val="center"/>
        <w:tblLayout w:type="fixed"/>
        <w:tblLook w:firstColumn="1" w:firstRow="1" w:lastColumn="0" w:lastRow="0" w:noHBand="0" w:noVBand="1" w:val="04A0"/>
        <w:tblInd w:type="dxa" w:w="150"/>
      </w:tblPr>
      <w:tblGrid>
        <w:gridCol w:w="9360"/>
      </w:tblGrid>
      <w:tr>
        <w:trPr>
          <w:cantSplit/>
          <w:tblHeader w:val="true"/>
        </w:trPr>
        <w:tc>
          <w:tcPr>
            <w:tcW w:type="dxa" w:w="9360"/>
            <w:shd w:fill="E8F1F7"/>
            <w:tcMar>
              <w:top w:w="130" w:type="dxa"/>
              <w:bottom w:w="130" w:type="dxa"/>
              <w:start w:w="150" w:type="dxa"/>
              <w:end w:w="150" w:type="dxa"/>
            </w:tcMar>
          </w:tcPr>
          <w:p>
            <w:pPr>
              <w:spacing w:after="0" w:line="283" w:lineRule="auto"/>
            </w:pPr>
            <w:r/>
            <w:r>
              <w:rPr>
                <w:rFonts w:ascii="Calibri" w:hAnsi="Calibri"/>
                <w:b/>
                <w:i w:val="0"/>
                <w:color w:val="2E74B5"/>
                <w:sz w:val="18"/>
              </w:rPr>
              <w:t xml:space="preserve">SCOPE RULE  </w:t>
            </w:r>
            <w:r>
              <w:rPr>
                <w:rFonts w:ascii="Calibri" w:hAnsi="Calibri"/>
                <w:b w:val="0"/>
                <w:i w:val="0"/>
                <w:color w:val="0B2545"/>
                <w:sz w:val="21"/>
              </w:rPr>
              <w:t>The MVP will be architected to support many contractor types, but it will not implement every trade and jurisdiction at launch. Version 1 will prove the shared platform with one production-quality KCMO trade pack, then add packs through configuration and tested domain rules.</w:t>
            </w:r>
          </w:p>
        </w:tc>
      </w:tr>
    </w:tbl>
    <w:p>
      <w:pPr>
        <w:spacing w:after="0"/>
      </w:pPr>
    </w:p>
    <w:p>
      <w:pPr>
        <w:spacing w:after="80" w:line="300" w:lineRule="auto"/>
        <w:jc w:val="center"/>
      </w:pPr>
      <w:r>
        <w:rPr>
          <w:rFonts w:ascii="Calibri" w:hAnsi="Calibri"/>
          <w:b w:val="0"/>
          <w:i/>
          <w:color w:val="5F6872"/>
          <w:sz w:val="19"/>
        </w:rPr>
        <w:t>Planning only - no implementation or production changes included</w:t>
      </w:r>
    </w:p>
    <w:p>
      <w:pPr>
        <w:spacing w:after="0" w:line="300" w:lineRule="auto"/>
        <w:jc w:val="center"/>
      </w:pPr>
      <w:r>
        <w:rPr>
          <w:rFonts w:ascii="Calibri" w:hAnsi="Calibri"/>
          <w:b w:val="0"/>
          <w:i w:val="0"/>
          <w:color w:val="5F6872"/>
          <w:sz w:val="19"/>
        </w:rPr>
        <w:t>Prepared from the current PermitOS repository and product discussions</w:t>
      </w:r>
    </w:p>
    <w:p>
      <w:r>
        <w:br w:type="page"/>
      </w:r>
    </w:p>
    <w:p>
      <w:pPr>
        <w:pStyle w:val="Heading1"/>
      </w:pPr>
      <w:r>
        <w:t>1. Executive implementation decision</w:t>
      </w:r>
    </w:p>
    <w:p>
      <w:pPr>
        <w:spacing w:after="120" w:line="300" w:lineRule="auto"/>
      </w:pPr>
      <w:r>
        <w:rPr>
          <w:rFonts w:ascii="Calibri" w:hAnsi="Calibri"/>
          <w:b w:val="0"/>
          <w:i w:val="0"/>
          <w:color w:val="222222"/>
          <w:sz w:val="22"/>
        </w:rPr>
        <w:t>PermitOS should evolve from a report-oriented multi-agent demonstration into a persistent permit-operations workspace. The existing project, file, rules, analysis, approval, audit, and export capabilities should be retained. The new architecture should introduce stable domain records for project facts, candidate permits, permit reviews, requirements, issues, comments, status events, inspections, and trade-pack configuration.</w:t>
      </w:r>
    </w:p>
    <w:tbl>
      <w:tblPr>
        <w:tblW w:type="dxa" w:w="9360"/>
        <w:jc w:val="center"/>
        <w:tblLayout w:type="fixed"/>
        <w:tblLook w:firstColumn="1" w:firstRow="1" w:lastColumn="0" w:lastRow="0" w:noHBand="0" w:noVBand="1" w:val="04A0"/>
        <w:tblInd w:type="dxa" w:w="150"/>
      </w:tblPr>
      <w:tblGrid>
        <w:gridCol w:w="9360"/>
      </w:tblGrid>
      <w:tr>
        <w:trPr>
          <w:cantSplit/>
          <w:tblHeader w:val="true"/>
        </w:trPr>
        <w:tc>
          <w:tcPr>
            <w:tcW w:type="dxa" w:w="9360"/>
            <w:shd w:fill="EAF5EF"/>
            <w:tcMar>
              <w:top w:w="130" w:type="dxa"/>
              <w:bottom w:w="130" w:type="dxa"/>
              <w:start w:w="150" w:type="dxa"/>
              <w:end w:w="150" w:type="dxa"/>
            </w:tcMar>
          </w:tcPr>
          <w:p>
            <w:pPr>
              <w:spacing w:after="0" w:line="283" w:lineRule="auto"/>
            </w:pPr>
            <w:r/>
            <w:r>
              <w:rPr>
                <w:rFonts w:ascii="Calibri" w:hAnsi="Calibri"/>
                <w:b/>
                <w:i w:val="0"/>
                <w:color w:val="1F5E46"/>
                <w:sz w:val="18"/>
              </w:rPr>
              <w:t xml:space="preserve">RECOMMENDED PRODUCT SHAPE  </w:t>
            </w:r>
            <w:r>
              <w:rPr>
                <w:rFonts w:ascii="Calibri" w:hAnsi="Calibri"/>
                <w:b w:val="0"/>
                <w:i w:val="0"/>
                <w:color w:val="0B2545"/>
                <w:sz w:val="21"/>
              </w:rPr>
              <w:t>One shared application, one shared data model, one workflow engine, and a set of jurisdiction-plus-trade packs. Do not fork the application into HVACOS, PlumbingOS, FireOS, and separate city versions.</w:t>
            </w:r>
          </w:p>
        </w:tc>
      </w:tr>
    </w:tbl>
    <w:p>
      <w:pPr>
        <w:spacing w:after="0"/>
      </w:pPr>
    </w:p>
    <w:p>
      <w:pPr>
        <w:pStyle w:val="Heading2"/>
      </w:pPr>
      <w:r>
        <w:t>MVP launch definition</w:t>
      </w:r>
    </w:p>
    <w:tbl>
      <w:tblPr>
        <w:tblW w:type="dxa" w:w="9360"/>
        <w:jc w:val="center"/>
        <w:tblLayout w:type="fixed"/>
        <w:tblLook w:firstColumn="1" w:firstRow="1" w:lastColumn="0" w:lastRow="0" w:noHBand="0" w:noVBand="1" w:val="04A0"/>
        <w:tblInd w:type="dxa" w:w="120"/>
      </w:tblPr>
      <w:tblGrid>
        <w:gridCol w:w="1700"/>
        <w:gridCol w:w="3540"/>
        <w:gridCol w:w="4120"/>
      </w:tblGrid>
      <w:tr>
        <w:trPr>
          <w:cantSplit/>
          <w:tblHeader w:val="true"/>
        </w:trPr>
        <w:tc>
          <w:tcPr>
            <w:tcW w:type="dxa" w:w="1700"/>
            <w:vAlign w:val="center"/>
            <w:tcMar>
              <w:top w:w="80" w:type="dxa"/>
              <w:bottom w:w="80" w:type="dxa"/>
              <w:start w:w="120" w:type="dxa"/>
              <w:end w:w="120" w:type="dxa"/>
            </w:tcMar>
            <w:shd w:fill="1F4D78"/>
          </w:tcPr>
          <w:p>
            <w:pPr>
              <w:spacing w:after="0" w:line="264" w:lineRule="auto"/>
              <w:jc w:val="left"/>
            </w:pPr>
            <w:r/>
            <w:r>
              <w:rPr>
                <w:rFonts w:ascii="Calibri" w:hAnsi="Calibri"/>
                <w:b/>
                <w:i w:val="0"/>
                <w:color w:val="FFFFFF"/>
                <w:sz w:val="18"/>
              </w:rPr>
              <w:t>Dimension</w:t>
            </w:r>
          </w:p>
        </w:tc>
        <w:tc>
          <w:tcPr>
            <w:tcW w:type="dxa" w:w="3540"/>
            <w:vAlign w:val="center"/>
            <w:tcMar>
              <w:top w:w="80" w:type="dxa"/>
              <w:bottom w:w="80" w:type="dxa"/>
              <w:start w:w="120" w:type="dxa"/>
              <w:end w:w="120" w:type="dxa"/>
            </w:tcMar>
            <w:shd w:fill="1F4D78"/>
          </w:tcPr>
          <w:p>
            <w:pPr>
              <w:spacing w:after="0" w:line="264" w:lineRule="auto"/>
              <w:jc w:val="left"/>
            </w:pPr>
            <w:r/>
            <w:r>
              <w:rPr>
                <w:rFonts w:ascii="Calibri" w:hAnsi="Calibri"/>
                <w:b/>
                <w:i w:val="0"/>
                <w:color w:val="FFFFFF"/>
                <w:sz w:val="18"/>
              </w:rPr>
              <w:t>MVP decision</w:t>
            </w:r>
          </w:p>
        </w:tc>
        <w:tc>
          <w:tcPr>
            <w:tcW w:type="dxa" w:w="4120"/>
            <w:vAlign w:val="center"/>
            <w:tcMar>
              <w:top w:w="80" w:type="dxa"/>
              <w:bottom w:w="80" w:type="dxa"/>
              <w:start w:w="120" w:type="dxa"/>
              <w:end w:w="120" w:type="dxa"/>
            </w:tcMar>
            <w:shd w:fill="1F4D78"/>
          </w:tcPr>
          <w:p>
            <w:pPr>
              <w:spacing w:after="0" w:line="264" w:lineRule="auto"/>
              <w:jc w:val="left"/>
            </w:pPr>
            <w:r/>
            <w:r>
              <w:rPr>
                <w:rFonts w:ascii="Calibri" w:hAnsi="Calibri"/>
                <w:b/>
                <w:i w:val="0"/>
                <w:color w:val="FFFFFF"/>
                <w:sz w:val="18"/>
              </w:rPr>
              <w:t>Extension path</w:t>
            </w:r>
          </w:p>
        </w:tc>
      </w:tr>
      <w:tr>
        <w:trPr>
          <w:cantSplit/>
        </w:trPr>
        <w:tc>
          <w:tcPr>
            <w:tcW w:type="dxa" w:w="170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Jurisdiction</w:t>
            </w:r>
          </w:p>
        </w:tc>
        <w:tc>
          <w:tcPr>
            <w:tcW w:type="dxa" w:w="354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Kansas City, Missouri</w:t>
            </w:r>
          </w:p>
        </w:tc>
        <w:tc>
          <w:tcPr>
            <w:tcW w:type="dxa" w:w="412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KCK/Wyandotte, Johnson County cities, St. Louis</w:t>
            </w:r>
          </w:p>
        </w:tc>
      </w:tr>
      <w:tr>
        <w:trPr>
          <w:cantSplit/>
        </w:trPr>
        <w:tc>
          <w:tcPr>
            <w:tcW w:type="dxa" w:w="170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Initial trade</w:t>
            </w:r>
          </w:p>
        </w:tc>
        <w:tc>
          <w:tcPr>
            <w:tcW w:type="dxa" w:w="354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Mechanical/HVAC working hypothesis</w:t>
            </w:r>
          </w:p>
        </w:tc>
        <w:tc>
          <w:tcPr>
            <w:tcW w:type="dxa" w:w="412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Electrical, plumbing, fire protection</w:t>
            </w:r>
          </w:p>
        </w:tc>
      </w:tr>
      <w:tr>
        <w:trPr>
          <w:cantSplit/>
        </w:trPr>
        <w:tc>
          <w:tcPr>
            <w:tcW w:type="dxa" w:w="170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Primary user</w:t>
            </w:r>
          </w:p>
        </w:tc>
        <w:tc>
          <w:tcPr>
            <w:tcW w:type="dxa" w:w="354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Small/mid-size specialty contractor operations</w:t>
            </w:r>
          </w:p>
        </w:tc>
        <w:tc>
          <w:tcPr>
            <w:tcW w:type="dxa" w:w="412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Multi-branch and enterprise permit teams</w:t>
            </w:r>
          </w:p>
        </w:tc>
      </w:tr>
      <w:tr>
        <w:trPr>
          <w:cantSplit/>
        </w:trPr>
        <w:tc>
          <w:tcPr>
            <w:tcW w:type="dxa" w:w="170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Product boundary</w:t>
            </w:r>
          </w:p>
        </w:tc>
        <w:tc>
          <w:tcPr>
            <w:tcW w:type="dxa" w:w="354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Readiness, packet organization, tracking, comments, inspections</w:t>
            </w:r>
          </w:p>
        </w:tc>
        <w:tc>
          <w:tcPr>
            <w:tcW w:type="dxa" w:w="412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Integrations and assisted submission later</w:t>
            </w:r>
          </w:p>
        </w:tc>
      </w:tr>
      <w:tr>
        <w:trPr>
          <w:cantSplit/>
        </w:trPr>
        <w:tc>
          <w:tcPr>
            <w:tcW w:type="dxa" w:w="170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Decision model</w:t>
            </w:r>
          </w:p>
        </w:tc>
        <w:tc>
          <w:tcPr>
            <w:tcW w:type="dxa" w:w="354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Rules-first with AI assistance</w:t>
            </w:r>
          </w:p>
        </w:tc>
        <w:tc>
          <w:tcPr>
            <w:tcW w:type="dxa" w:w="412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Outcome-calibrated automation over time</w:t>
            </w:r>
          </w:p>
        </w:tc>
      </w:tr>
    </w:tbl>
    <w:p>
      <w:pPr>
        <w:spacing w:after="0"/>
      </w:pPr>
    </w:p>
    <w:p>
      <w:pPr>
        <w:pStyle w:val="Heading2"/>
      </w:pPr>
      <w:r>
        <w:t>MVP user outcome</w:t>
      </w:r>
    </w:p>
    <w:p>
      <w:pPr>
        <w:pStyle w:val="ListBullet"/>
      </w:pPr>
      <w:r>
        <w:rPr>
          <w:rFonts w:ascii="Calibri" w:hAnsi="Calibri"/>
          <w:b w:val="0"/>
          <w:i w:val="0"/>
          <w:color w:val="222222"/>
          <w:sz w:val="21"/>
        </w:rPr>
        <w:t>Create a KCMO project using a guided trade-specific intake.</w:t>
      </w:r>
    </w:p>
    <w:p>
      <w:pPr>
        <w:pStyle w:val="ListBullet"/>
      </w:pPr>
      <w:r>
        <w:rPr>
          <w:rFonts w:ascii="Calibri" w:hAnsi="Calibri"/>
          <w:b w:val="0"/>
          <w:i w:val="0"/>
          <w:color w:val="222222"/>
          <w:sz w:val="21"/>
        </w:rPr>
        <w:t>Upload and classify project documents without needing developer help.</w:t>
      </w:r>
    </w:p>
    <w:p>
      <w:pPr>
        <w:pStyle w:val="ListBullet"/>
      </w:pPr>
      <w:r>
        <w:rPr>
          <w:rFonts w:ascii="Calibri" w:hAnsi="Calibri"/>
          <w:b w:val="0"/>
          <w:i w:val="0"/>
          <w:color w:val="222222"/>
          <w:sz w:val="21"/>
        </w:rPr>
        <w:t>See a source-linked project fact sheet and correct extracted information.</w:t>
      </w:r>
    </w:p>
    <w:p>
      <w:pPr>
        <w:pStyle w:val="ListBullet"/>
      </w:pPr>
      <w:r>
        <w:rPr>
          <w:rFonts w:ascii="Calibri" w:hAnsi="Calibri"/>
          <w:b w:val="0"/>
          <w:i w:val="0"/>
          <w:color w:val="222222"/>
          <w:sz w:val="21"/>
        </w:rPr>
        <w:t>Receive likely permit cards with an explanation of why each applies.</w:t>
      </w:r>
    </w:p>
    <w:p>
      <w:pPr>
        <w:pStyle w:val="ListBullet"/>
      </w:pPr>
      <w:r>
        <w:rPr>
          <w:rFonts w:ascii="Calibri" w:hAnsi="Calibri"/>
          <w:b w:val="0"/>
          <w:i w:val="0"/>
          <w:color w:val="222222"/>
          <w:sz w:val="21"/>
        </w:rPr>
        <w:t>See required, received, missing, uncertain, and not-applicable items per permit.</w:t>
      </w:r>
    </w:p>
    <w:p>
      <w:pPr>
        <w:pStyle w:val="ListBullet"/>
      </w:pPr>
      <w:r>
        <w:rPr>
          <w:rFonts w:ascii="Calibri" w:hAnsi="Calibri"/>
          <w:b w:val="0"/>
          <w:i w:val="0"/>
          <w:color w:val="222222"/>
          <w:sz w:val="21"/>
        </w:rPr>
        <w:t>Assign and resolve issues, collect comments, and record a human review decision.</w:t>
      </w:r>
    </w:p>
    <w:p>
      <w:pPr>
        <w:pStyle w:val="ListBullet"/>
      </w:pPr>
      <w:r>
        <w:rPr>
          <w:rFonts w:ascii="Calibri" w:hAnsi="Calibri"/>
          <w:b w:val="0"/>
          <w:i w:val="0"/>
          <w:color w:val="222222"/>
          <w:sz w:val="21"/>
        </w:rPr>
        <w:t>Export a professional readiness packet and optionally record CompassKC status manually.</w:t>
      </w:r>
    </w:p>
    <w:p>
      <w:pPr>
        <w:pStyle w:val="ListBullet"/>
      </w:pPr>
      <w:r>
        <w:rPr>
          <w:rFonts w:ascii="Calibri" w:hAnsi="Calibri"/>
          <w:b w:val="0"/>
          <w:i w:val="0"/>
          <w:color w:val="222222"/>
          <w:sz w:val="21"/>
        </w:rPr>
        <w:t>Track correction and inspection tasks after submission without claiming municipal integration.</w:t>
      </w:r>
    </w:p>
    <w:p>
      <w:pPr>
        <w:pStyle w:val="Heading1"/>
      </w:pPr>
      <w:r>
        <w:t>2. Current architecture assessment</w:t>
      </w:r>
    </w:p>
    <w:tbl>
      <w:tblPr>
        <w:tblW w:type="dxa" w:w="9360"/>
        <w:jc w:val="center"/>
        <w:tblLayout w:type="fixed"/>
        <w:tblLook w:firstColumn="1" w:firstRow="1" w:lastColumn="0" w:lastRow="0" w:noHBand="0" w:noVBand="1" w:val="04A0"/>
        <w:tblInd w:type="dxa" w:w="120"/>
      </w:tblPr>
      <w:tblGrid>
        <w:gridCol w:w="1250"/>
        <w:gridCol w:w="3680"/>
        <w:gridCol w:w="4430"/>
      </w:tblGrid>
      <w:tr>
        <w:trPr>
          <w:cantSplit/>
          <w:tblHeader w:val="true"/>
        </w:trPr>
        <w:tc>
          <w:tcPr>
            <w:tcW w:type="dxa" w:w="1250"/>
            <w:vAlign w:val="center"/>
            <w:tcMar>
              <w:top w:w="80" w:type="dxa"/>
              <w:bottom w:w="80" w:type="dxa"/>
              <w:start w:w="120" w:type="dxa"/>
              <w:end w:w="120" w:type="dxa"/>
            </w:tcMar>
            <w:shd w:fill="1F4D78"/>
          </w:tcPr>
          <w:p>
            <w:pPr>
              <w:spacing w:after="0" w:line="264" w:lineRule="auto"/>
              <w:jc w:val="left"/>
            </w:pPr>
            <w:r/>
            <w:r>
              <w:rPr>
                <w:rFonts w:ascii="Calibri" w:hAnsi="Calibri"/>
                <w:b/>
                <w:i w:val="0"/>
                <w:color w:val="FFFFFF"/>
                <w:sz w:val="18"/>
              </w:rPr>
              <w:t>Layer</w:t>
            </w:r>
          </w:p>
        </w:tc>
        <w:tc>
          <w:tcPr>
            <w:tcW w:type="dxa" w:w="3680"/>
            <w:vAlign w:val="center"/>
            <w:tcMar>
              <w:top w:w="80" w:type="dxa"/>
              <w:bottom w:w="80" w:type="dxa"/>
              <w:start w:w="120" w:type="dxa"/>
              <w:end w:w="120" w:type="dxa"/>
            </w:tcMar>
            <w:shd w:fill="1F4D78"/>
          </w:tcPr>
          <w:p>
            <w:pPr>
              <w:spacing w:after="0" w:line="264" w:lineRule="auto"/>
              <w:jc w:val="left"/>
            </w:pPr>
            <w:r/>
            <w:r>
              <w:rPr>
                <w:rFonts w:ascii="Calibri" w:hAnsi="Calibri"/>
                <w:b/>
                <w:i w:val="0"/>
                <w:color w:val="FFFFFF"/>
                <w:sz w:val="18"/>
              </w:rPr>
              <w:t>Existing assets</w:t>
            </w:r>
          </w:p>
        </w:tc>
        <w:tc>
          <w:tcPr>
            <w:tcW w:type="dxa" w:w="4430"/>
            <w:vAlign w:val="center"/>
            <w:tcMar>
              <w:top w:w="80" w:type="dxa"/>
              <w:bottom w:w="80" w:type="dxa"/>
              <w:start w:w="120" w:type="dxa"/>
              <w:end w:w="120" w:type="dxa"/>
            </w:tcMar>
            <w:shd w:fill="1F4D78"/>
          </w:tcPr>
          <w:p>
            <w:pPr>
              <w:spacing w:after="0" w:line="264" w:lineRule="auto"/>
              <w:jc w:val="left"/>
            </w:pPr>
            <w:r/>
            <w:r>
              <w:rPr>
                <w:rFonts w:ascii="Calibri" w:hAnsi="Calibri"/>
                <w:b/>
                <w:i w:val="0"/>
                <w:color w:val="FFFFFF"/>
                <w:sz w:val="18"/>
              </w:rPr>
              <w:t>Required evolution</w:t>
            </w:r>
          </w:p>
        </w:tc>
      </w:tr>
      <w:tr>
        <w:trPr>
          <w:cantSplit/>
        </w:trPr>
        <w:tc>
          <w:tcPr>
            <w:tcW w:type="dxa" w:w="125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Frontend</w:t>
            </w:r>
          </w:p>
        </w:tc>
        <w:tc>
          <w:tcPr>
            <w:tcW w:type="dxa" w:w="368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React/Vite, project dashboard, workspace tabs, file uploader, rules editor, analysis, PDF export</w:t>
            </w:r>
          </w:p>
        </w:tc>
        <w:tc>
          <w:tcPr>
            <w:tcW w:type="dxa" w:w="443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Permit workspace, detail panels, comments, tasks, lifecycle timeline</w:t>
            </w:r>
          </w:p>
        </w:tc>
      </w:tr>
      <w:tr>
        <w:trPr>
          <w:cantSplit/>
        </w:trPr>
        <w:tc>
          <w:tcPr>
            <w:tcW w:type="dxa" w:w="125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API</w:t>
            </w:r>
          </w:p>
        </w:tc>
        <w:tc>
          <w:tcPr>
            <w:tcW w:type="dxa" w:w="368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FastAPI project/case/audit routes and background analysis</w:t>
            </w:r>
          </w:p>
        </w:tc>
        <w:tc>
          <w:tcPr>
            <w:tcW w:type="dxa" w:w="443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Resource-oriented permit, issue, comment, status, and inspection APIs</w:t>
            </w:r>
          </w:p>
        </w:tc>
      </w:tr>
      <w:tr>
        <w:trPr>
          <w:cantSplit/>
        </w:trPr>
        <w:tc>
          <w:tcPr>
            <w:tcW w:type="dxa" w:w="125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Persistence</w:t>
            </w:r>
          </w:p>
        </w:tc>
        <w:tc>
          <w:tcPr>
            <w:tcW w:type="dxa" w:w="368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SQLite/SQLAlchemy projects, files, cases, audit log</w:t>
            </w:r>
          </w:p>
        </w:tc>
        <w:tc>
          <w:tcPr>
            <w:tcW w:type="dxa" w:w="443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Normalized operational tables; retain immutable analysis snapshots</w:t>
            </w:r>
          </w:p>
        </w:tc>
      </w:tr>
      <w:tr>
        <w:trPr>
          <w:cantSplit/>
        </w:trPr>
        <w:tc>
          <w:tcPr>
            <w:tcW w:type="dxa" w:w="125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Schemas</w:t>
            </w:r>
          </w:p>
        </w:tc>
        <w:tc>
          <w:tcPr>
            <w:tcW w:type="dxa" w:w="368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Pydantic report/package schemas plus early permit-review schemas</w:t>
            </w:r>
          </w:p>
        </w:tc>
        <w:tc>
          <w:tcPr>
            <w:tcW w:type="dxa" w:w="443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Versioned contracts with provenance, certainty, review state, and lifecycle</w:t>
            </w:r>
          </w:p>
        </w:tc>
      </w:tr>
      <w:tr>
        <w:trPr>
          <w:cantSplit/>
        </w:trPr>
        <w:tc>
          <w:tcPr>
            <w:tcW w:type="dxa" w:w="125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Knowledge</w:t>
            </w:r>
          </w:p>
        </w:tc>
        <w:tc>
          <w:tcPr>
            <w:tcW w:type="dxa" w:w="368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Austin, Manhattan, Seattle JSON packs</w:t>
            </w:r>
          </w:p>
        </w:tc>
        <w:tc>
          <w:tcPr>
            <w:tcW w:type="dxa" w:w="443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KCMO pack contract, validation tooling, source freshness, trade overlays</w:t>
            </w:r>
          </w:p>
        </w:tc>
      </w:tr>
      <w:tr>
        <w:trPr>
          <w:cantSplit/>
        </w:trPr>
        <w:tc>
          <w:tcPr>
            <w:tcW w:type="dxa" w:w="125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Analysis</w:t>
            </w:r>
          </w:p>
        </w:tc>
        <w:tc>
          <w:tcPr>
            <w:tcW w:type="dxa" w:w="368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Multi-agent reports, deterministic tools, custom rules, readiness calculation</w:t>
            </w:r>
          </w:p>
        </w:tc>
        <w:tc>
          <w:tcPr>
            <w:tcW w:type="dxa" w:w="443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Four-stage pipeline with deterministic core and bounded AI</w:t>
            </w:r>
          </w:p>
        </w:tc>
      </w:tr>
      <w:tr>
        <w:trPr>
          <w:cantSplit/>
        </w:trPr>
        <w:tc>
          <w:tcPr>
            <w:tcW w:type="dxa" w:w="125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Operations</w:t>
            </w:r>
          </w:p>
        </w:tc>
        <w:tc>
          <w:tcPr>
            <w:tcW w:type="dxa" w:w="368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Human approval, audit hash, simulated RFI</w:t>
            </w:r>
          </w:p>
        </w:tc>
        <w:tc>
          <w:tcPr>
            <w:tcW w:type="dxa" w:w="443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Real comments/tasks/corrections/inspections; no fake portal state</w:t>
            </w:r>
          </w:p>
        </w:tc>
      </w:tr>
    </w:tbl>
    <w:p>
      <w:pPr>
        <w:spacing w:after="0"/>
      </w:pPr>
    </w:p>
    <w:tbl>
      <w:tblPr>
        <w:tblW w:type="dxa" w:w="9360"/>
        <w:jc w:val="center"/>
        <w:tblLayout w:type="fixed"/>
        <w:tblLook w:firstColumn="1" w:firstRow="1" w:lastColumn="0" w:lastRow="0" w:noHBand="0" w:noVBand="1" w:val="04A0"/>
        <w:tblInd w:type="dxa" w:w="150"/>
      </w:tblPr>
      <w:tblGrid>
        <w:gridCol w:w="9360"/>
      </w:tblGrid>
      <w:tr>
        <w:trPr>
          <w:cantSplit/>
          <w:tblHeader w:val="true"/>
        </w:trPr>
        <w:tc>
          <w:tcPr>
            <w:tcW w:type="dxa" w:w="9360"/>
            <w:shd w:fill="F4F6F9"/>
            <w:tcMar>
              <w:top w:w="130" w:type="dxa"/>
              <w:bottom w:w="130" w:type="dxa"/>
              <w:start w:w="150" w:type="dxa"/>
              <w:end w:w="150" w:type="dxa"/>
            </w:tcMar>
          </w:tcPr>
          <w:p>
            <w:pPr>
              <w:spacing w:after="0" w:line="283" w:lineRule="auto"/>
            </w:pPr>
            <w:r/>
            <w:r>
              <w:rPr>
                <w:rFonts w:ascii="Calibri" w:hAnsi="Calibri"/>
                <w:b/>
                <w:i w:val="0"/>
                <w:color w:val="2E74B5"/>
                <w:sz w:val="18"/>
              </w:rPr>
              <w:t xml:space="preserve">REUSE, DO NOT REWRITE  </w:t>
            </w:r>
            <w:r>
              <w:rPr>
                <w:rFonts w:ascii="Calibri" w:hAnsi="Calibri"/>
                <w:b w:val="0"/>
                <w:i w:val="0"/>
                <w:color w:val="0B2545"/>
                <w:sz w:val="21"/>
              </w:rPr>
              <w:t>The current `shared/schemas/permit_review.py` and `api/services/permit_review_service.py` are useful starting points. Extend them into persistent domain contracts instead of creating a second parallel permit model.</w:t>
            </w:r>
          </w:p>
        </w:tc>
      </w:tr>
    </w:tbl>
    <w:p>
      <w:pPr>
        <w:spacing w:after="0"/>
      </w:pPr>
    </w:p>
    <w:p>
      <w:pPr>
        <w:pStyle w:val="Heading1"/>
      </w:pPr>
      <w:r>
        <w:t>3. Target system architecture</w:t>
      </w:r>
    </w:p>
    <w:p>
      <w:pPr>
        <w:spacing w:after="120" w:line="300" w:lineRule="auto"/>
      </w:pPr>
      <w:r>
        <w:rPr>
          <w:rFonts w:ascii="Calibri" w:hAnsi="Calibri"/>
          <w:b w:val="0"/>
          <w:i w:val="0"/>
          <w:color w:val="222222"/>
          <w:sz w:val="22"/>
        </w:rPr>
        <w:t>The architecture should use a modular monolith for the MVP. FastAPI remains the backend, React remains the client, and one relational database remains the system of record. Domain boundaries should be explicit in code, but separate deployable microservices are unnecessary until scale or team ownership demands them.</w:t>
      </w:r>
    </w:p>
    <w:tbl>
      <w:tblPr>
        <w:tblW w:type="dxa" w:w="9360"/>
        <w:jc w:val="center"/>
        <w:tblLayout w:type="fixed"/>
        <w:tblLook w:firstColumn="1" w:firstRow="1" w:lastColumn="0" w:lastRow="0" w:noHBand="0" w:noVBand="1" w:val="04A0"/>
        <w:tblInd w:type="dxa" w:w="120"/>
      </w:tblPr>
      <w:tblGrid>
        <w:gridCol w:w="1800"/>
        <w:gridCol w:w="4740"/>
        <w:gridCol w:w="2820"/>
      </w:tblGrid>
      <w:tr>
        <w:trPr>
          <w:cantSplit/>
          <w:tblHeader w:val="true"/>
        </w:trPr>
        <w:tc>
          <w:tcPr>
            <w:tcW w:type="dxa" w:w="1800"/>
            <w:vAlign w:val="center"/>
            <w:tcMar>
              <w:top w:w="80" w:type="dxa"/>
              <w:bottom w:w="80" w:type="dxa"/>
              <w:start w:w="120" w:type="dxa"/>
              <w:end w:w="120" w:type="dxa"/>
            </w:tcMar>
            <w:shd w:fill="1F4D78"/>
          </w:tcPr>
          <w:p>
            <w:pPr>
              <w:spacing w:after="0" w:line="264" w:lineRule="auto"/>
              <w:jc w:val="left"/>
            </w:pPr>
            <w:r/>
            <w:r>
              <w:rPr>
                <w:rFonts w:ascii="Calibri" w:hAnsi="Calibri"/>
                <w:b/>
                <w:i w:val="0"/>
                <w:color w:val="FFFFFF"/>
                <w:sz w:val="18"/>
              </w:rPr>
              <w:t>Module</w:t>
            </w:r>
          </w:p>
        </w:tc>
        <w:tc>
          <w:tcPr>
            <w:tcW w:type="dxa" w:w="4740"/>
            <w:vAlign w:val="center"/>
            <w:tcMar>
              <w:top w:w="80" w:type="dxa"/>
              <w:bottom w:w="80" w:type="dxa"/>
              <w:start w:w="120" w:type="dxa"/>
              <w:end w:w="120" w:type="dxa"/>
            </w:tcMar>
            <w:shd w:fill="1F4D78"/>
          </w:tcPr>
          <w:p>
            <w:pPr>
              <w:spacing w:after="0" w:line="264" w:lineRule="auto"/>
              <w:jc w:val="left"/>
            </w:pPr>
            <w:r/>
            <w:r>
              <w:rPr>
                <w:rFonts w:ascii="Calibri" w:hAnsi="Calibri"/>
                <w:b/>
                <w:i w:val="0"/>
                <w:color w:val="FFFFFF"/>
                <w:sz w:val="18"/>
              </w:rPr>
              <w:t>Responsibility</w:t>
            </w:r>
          </w:p>
        </w:tc>
        <w:tc>
          <w:tcPr>
            <w:tcW w:type="dxa" w:w="2820"/>
            <w:vAlign w:val="center"/>
            <w:tcMar>
              <w:top w:w="80" w:type="dxa"/>
              <w:bottom w:w="80" w:type="dxa"/>
              <w:start w:w="120" w:type="dxa"/>
              <w:end w:w="120" w:type="dxa"/>
            </w:tcMar>
            <w:shd w:fill="1F4D78"/>
          </w:tcPr>
          <w:p>
            <w:pPr>
              <w:spacing w:after="0" w:line="264" w:lineRule="auto"/>
              <w:jc w:val="left"/>
            </w:pPr>
            <w:r/>
            <w:r>
              <w:rPr>
                <w:rFonts w:ascii="Calibri" w:hAnsi="Calibri"/>
                <w:b/>
                <w:i w:val="0"/>
                <w:color w:val="FFFFFF"/>
                <w:sz w:val="18"/>
              </w:rPr>
              <w:t>Key rule</w:t>
            </w:r>
          </w:p>
        </w:tc>
      </w:tr>
      <w:tr>
        <w:trPr>
          <w:cantSplit/>
        </w:trPr>
        <w:tc>
          <w:tcPr>
            <w:tcW w:type="dxa" w:w="180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Identity and organizations</w:t>
            </w:r>
          </w:p>
        </w:tc>
        <w:tc>
          <w:tcPr>
            <w:tcW w:type="dxa" w:w="474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Users, organizations, memberships, roles</w:t>
            </w:r>
          </w:p>
        </w:tc>
        <w:tc>
          <w:tcPr>
            <w:tcW w:type="dxa" w:w="282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Tenant scope on every customer record</w:t>
            </w:r>
          </w:p>
        </w:tc>
      </w:tr>
      <w:tr>
        <w:trPr>
          <w:cantSplit/>
        </w:trPr>
        <w:tc>
          <w:tcPr>
            <w:tcW w:type="dxa" w:w="180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Projects</w:t>
            </w:r>
          </w:p>
        </w:tc>
        <w:tc>
          <w:tcPr>
            <w:tcW w:type="dxa" w:w="474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Customer, site, scope, contacts, trade, target dates</w:t>
            </w:r>
          </w:p>
        </w:tc>
        <w:tc>
          <w:tcPr>
            <w:tcW w:type="dxa" w:w="282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Canonical project ID and jurisdiction</w:t>
            </w:r>
          </w:p>
        </w:tc>
      </w:tr>
      <w:tr>
        <w:trPr>
          <w:cantSplit/>
        </w:trPr>
        <w:tc>
          <w:tcPr>
            <w:tcW w:type="dxa" w:w="180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Documents</w:t>
            </w:r>
          </w:p>
        </w:tc>
        <w:tc>
          <w:tcPr>
            <w:tcW w:type="dxa" w:w="474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Metadata, versions, storage, classification, requirement matches</w:t>
            </w:r>
          </w:p>
        </w:tc>
        <w:tc>
          <w:tcPr>
            <w:tcW w:type="dxa" w:w="282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Never overwrite; create versions</w:t>
            </w:r>
          </w:p>
        </w:tc>
      </w:tr>
      <w:tr>
        <w:trPr>
          <w:cantSplit/>
        </w:trPr>
        <w:tc>
          <w:tcPr>
            <w:tcW w:type="dxa" w:w="180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Project facts</w:t>
            </w:r>
          </w:p>
        </w:tc>
        <w:tc>
          <w:tcPr>
            <w:tcW w:type="dxa" w:w="474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Normalized values with source, confidence, review state</w:t>
            </w:r>
          </w:p>
        </w:tc>
        <w:tc>
          <w:tcPr>
            <w:tcW w:type="dxa" w:w="282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Reviewed facts override inferred facts</w:t>
            </w:r>
          </w:p>
        </w:tc>
      </w:tr>
      <w:tr>
        <w:trPr>
          <w:cantSplit/>
        </w:trPr>
        <w:tc>
          <w:tcPr>
            <w:tcW w:type="dxa" w:w="180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Permit engine</w:t>
            </w:r>
          </w:p>
        </w:tc>
        <w:tc>
          <w:tcPr>
            <w:tcW w:type="dxa" w:w="474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Applicability, requirements, dependencies, status calculation</w:t>
            </w:r>
          </w:p>
        </w:tc>
        <w:tc>
          <w:tcPr>
            <w:tcW w:type="dxa" w:w="282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Deterministic rules are authoritative</w:t>
            </w:r>
          </w:p>
        </w:tc>
      </w:tr>
      <w:tr>
        <w:trPr>
          <w:cantSplit/>
        </w:trPr>
        <w:tc>
          <w:tcPr>
            <w:tcW w:type="dxa" w:w="180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Review engine</w:t>
            </w:r>
          </w:p>
        </w:tc>
        <w:tc>
          <w:tcPr>
            <w:tcW w:type="dxa" w:w="474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Document mapping, findings, cross-permit checks, readiness</w:t>
            </w:r>
          </w:p>
        </w:tc>
        <w:tc>
          <w:tcPr>
            <w:tcW w:type="dxa" w:w="282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Every output carries provenance</w:t>
            </w:r>
          </w:p>
        </w:tc>
      </w:tr>
      <w:tr>
        <w:trPr>
          <w:cantSplit/>
        </w:trPr>
        <w:tc>
          <w:tcPr>
            <w:tcW w:type="dxa" w:w="180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Workflow</w:t>
            </w:r>
          </w:p>
        </w:tc>
        <w:tc>
          <w:tcPr>
            <w:tcW w:type="dxa" w:w="474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Issues, assignments, comments, approvals, events, deadlines</w:t>
            </w:r>
          </w:p>
        </w:tc>
        <w:tc>
          <w:tcPr>
            <w:tcW w:type="dxa" w:w="282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State transitions are validated</w:t>
            </w:r>
          </w:p>
        </w:tc>
      </w:tr>
      <w:tr>
        <w:trPr>
          <w:cantSplit/>
        </w:trPr>
        <w:tc>
          <w:tcPr>
            <w:tcW w:type="dxa" w:w="180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Inspections</w:t>
            </w:r>
          </w:p>
        </w:tc>
        <w:tc>
          <w:tcPr>
            <w:tcW w:type="dxa" w:w="474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Requirements, requests, confirmation, results, reinspection</w:t>
            </w:r>
          </w:p>
        </w:tc>
        <w:tc>
          <w:tcPr>
            <w:tcW w:type="dxa" w:w="282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Manual recording first</w:t>
            </w:r>
          </w:p>
        </w:tc>
      </w:tr>
      <w:tr>
        <w:trPr>
          <w:cantSplit/>
        </w:trPr>
        <w:tc>
          <w:tcPr>
            <w:tcW w:type="dxa" w:w="180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Knowledge packs</w:t>
            </w:r>
          </w:p>
        </w:tc>
        <w:tc>
          <w:tcPr>
            <w:tcW w:type="dxa" w:w="474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Jurisdiction sources and trade overlays</w:t>
            </w:r>
          </w:p>
        </w:tc>
        <w:tc>
          <w:tcPr>
            <w:tcW w:type="dxa" w:w="282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Schema validated and versioned</w:t>
            </w:r>
          </w:p>
        </w:tc>
      </w:tr>
      <w:tr>
        <w:trPr>
          <w:cantSplit/>
        </w:trPr>
        <w:tc>
          <w:tcPr>
            <w:tcW w:type="dxa" w:w="180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Reporting</w:t>
            </w:r>
          </w:p>
        </w:tc>
        <w:tc>
          <w:tcPr>
            <w:tcW w:type="dxa" w:w="474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Readiness packet, document index, source appendix</w:t>
            </w:r>
          </w:p>
        </w:tc>
        <w:tc>
          <w:tcPr>
            <w:tcW w:type="dxa" w:w="282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Generated from stored records</w:t>
            </w:r>
          </w:p>
        </w:tc>
      </w:tr>
      <w:tr>
        <w:trPr>
          <w:cantSplit/>
        </w:trPr>
        <w:tc>
          <w:tcPr>
            <w:tcW w:type="dxa" w:w="180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Audit/observability</w:t>
            </w:r>
          </w:p>
        </w:tc>
        <w:tc>
          <w:tcPr>
            <w:tcW w:type="dxa" w:w="474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Activity log, analysis runs, errors, metrics</w:t>
            </w:r>
          </w:p>
        </w:tc>
        <w:tc>
          <w:tcPr>
            <w:tcW w:type="dxa" w:w="282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No silent mutation or failure</w:t>
            </w:r>
          </w:p>
        </w:tc>
      </w:tr>
    </w:tbl>
    <w:p>
      <w:pPr>
        <w:spacing w:after="0"/>
      </w:pPr>
    </w:p>
    <w:p>
      <w:pPr>
        <w:pStyle w:val="Heading2"/>
      </w:pPr>
      <w:r>
        <w:t>Core request flow</w:t>
      </w:r>
    </w:p>
    <w:p>
      <w:pPr>
        <w:pStyle w:val="ListNumber"/>
      </w:pPr>
      <w:r>
        <w:rPr>
          <w:rFonts w:ascii="Calibri" w:hAnsi="Calibri"/>
          <w:b w:val="0"/>
          <w:i w:val="0"/>
          <w:color w:val="222222"/>
          <w:sz w:val="21"/>
        </w:rPr>
        <w:t>Client creates project and selects jurisdiction plus trade profile.</w:t>
      </w:r>
    </w:p>
    <w:p>
      <w:pPr>
        <w:pStyle w:val="ListNumber"/>
      </w:pPr>
      <w:r>
        <w:rPr>
          <w:rFonts w:ascii="Calibri" w:hAnsi="Calibri"/>
          <w:b w:val="0"/>
          <w:i w:val="0"/>
          <w:color w:val="222222"/>
          <w:sz w:val="21"/>
        </w:rPr>
        <w:t>API persists intake data and queues document extraction/classification.</w:t>
      </w:r>
    </w:p>
    <w:p>
      <w:pPr>
        <w:pStyle w:val="ListNumber"/>
      </w:pPr>
      <w:r>
        <w:rPr>
          <w:rFonts w:ascii="Calibri" w:hAnsi="Calibri"/>
          <w:b w:val="0"/>
          <w:i w:val="0"/>
          <w:color w:val="222222"/>
          <w:sz w:val="21"/>
        </w:rPr>
        <w:t>Fact service builds a canonical project profile with source references.</w:t>
      </w:r>
    </w:p>
    <w:p>
      <w:pPr>
        <w:pStyle w:val="ListNumber"/>
      </w:pPr>
      <w:r>
        <w:rPr>
          <w:rFonts w:ascii="Calibri" w:hAnsi="Calibri"/>
          <w:b w:val="0"/>
          <w:i w:val="0"/>
          <w:color w:val="222222"/>
          <w:sz w:val="21"/>
        </w:rPr>
        <w:t>Permit engine loads the active KCMO core pack and mechanical overlay.</w:t>
      </w:r>
    </w:p>
    <w:p>
      <w:pPr>
        <w:pStyle w:val="ListNumber"/>
      </w:pPr>
      <w:r>
        <w:rPr>
          <w:rFonts w:ascii="Calibri" w:hAnsi="Calibri"/>
          <w:b w:val="0"/>
          <w:i w:val="0"/>
          <w:color w:val="222222"/>
          <w:sz w:val="21"/>
        </w:rPr>
        <w:t>Applicability rules create candidate permits and requirement instances.</w:t>
      </w:r>
    </w:p>
    <w:p>
      <w:pPr>
        <w:pStyle w:val="ListNumber"/>
      </w:pPr>
      <w:r>
        <w:rPr>
          <w:rFonts w:ascii="Calibri" w:hAnsi="Calibri"/>
          <w:b w:val="0"/>
          <w:i w:val="0"/>
          <w:color w:val="222222"/>
          <w:sz w:val="21"/>
        </w:rPr>
        <w:t>Review engine maps documents, runs deterministic checks, and invokes AI only for bounded classification/explanation tasks.</w:t>
      </w:r>
    </w:p>
    <w:p>
      <w:pPr>
        <w:pStyle w:val="ListNumber"/>
      </w:pPr>
      <w:r>
        <w:rPr>
          <w:rFonts w:ascii="Calibri" w:hAnsi="Calibri"/>
          <w:b w:val="0"/>
          <w:i w:val="0"/>
          <w:color w:val="222222"/>
          <w:sz w:val="21"/>
        </w:rPr>
        <w:t>Readiness calculator creates permit-level and project-level states.</w:t>
      </w:r>
    </w:p>
    <w:p>
      <w:pPr>
        <w:pStyle w:val="ListNumber"/>
      </w:pPr>
      <w:r>
        <w:rPr>
          <w:rFonts w:ascii="Calibri" w:hAnsi="Calibri"/>
          <w:b w:val="0"/>
          <w:i w:val="0"/>
          <w:color w:val="222222"/>
          <w:sz w:val="21"/>
        </w:rPr>
        <w:t>User reviews facts and findings, comments, resolves issues, and records approval.</w:t>
      </w:r>
    </w:p>
    <w:p>
      <w:pPr>
        <w:pStyle w:val="ListNumber"/>
      </w:pPr>
      <w:r>
        <w:rPr>
          <w:rFonts w:ascii="Calibri" w:hAnsi="Calibri"/>
          <w:b w:val="0"/>
          <w:i w:val="0"/>
          <w:color w:val="222222"/>
          <w:sz w:val="21"/>
        </w:rPr>
        <w:t>Report service exports the stored reviewed state; workflow service tracks later corrections and inspections.</w:t>
      </w:r>
    </w:p>
    <w:p>
      <w:pPr>
        <w:pStyle w:val="Heading1"/>
      </w:pPr>
      <w:r>
        <w:t>4. Domain data model</w:t>
      </w:r>
    </w:p>
    <w:p>
      <w:pPr>
        <w:spacing w:after="120" w:line="300" w:lineRule="auto"/>
      </w:pPr>
      <w:r>
        <w:rPr>
          <w:rFonts w:ascii="Calibri" w:hAnsi="Calibri"/>
          <w:b w:val="0"/>
          <w:i w:val="0"/>
          <w:color w:val="222222"/>
          <w:sz w:val="22"/>
        </w:rPr>
        <w:t>Operational records should no longer live only inside a case result JSON blob. Analysis snapshots remain valuable for auditability, but current workflow state must be queryable, updateable, permission-controlled, and independently testable.</w:t>
      </w:r>
    </w:p>
    <w:tbl>
      <w:tblPr>
        <w:tblW w:type="dxa" w:w="9360"/>
        <w:jc w:val="center"/>
        <w:tblLayout w:type="fixed"/>
        <w:tblLook w:firstColumn="1" w:firstRow="1" w:lastColumn="0" w:lastRow="0" w:noHBand="0" w:noVBand="1" w:val="04A0"/>
        <w:tblInd w:type="dxa" w:w="120"/>
      </w:tblPr>
      <w:tblGrid>
        <w:gridCol w:w="1550"/>
        <w:gridCol w:w="4900"/>
        <w:gridCol w:w="2910"/>
      </w:tblGrid>
      <w:tr>
        <w:trPr>
          <w:cantSplit/>
          <w:tblHeader w:val="true"/>
        </w:trPr>
        <w:tc>
          <w:tcPr>
            <w:tcW w:type="dxa" w:w="1550"/>
            <w:vAlign w:val="center"/>
            <w:tcMar>
              <w:top w:w="80" w:type="dxa"/>
              <w:bottom w:w="80" w:type="dxa"/>
              <w:start w:w="120" w:type="dxa"/>
              <w:end w:w="120" w:type="dxa"/>
            </w:tcMar>
            <w:shd w:fill="1F4D78"/>
          </w:tcPr>
          <w:p>
            <w:pPr>
              <w:spacing w:after="0" w:line="264" w:lineRule="auto"/>
              <w:jc w:val="left"/>
            </w:pPr>
            <w:r/>
            <w:r>
              <w:rPr>
                <w:rFonts w:ascii="Calibri" w:hAnsi="Calibri"/>
                <w:b/>
                <w:i w:val="0"/>
                <w:color w:val="FFFFFF"/>
                <w:sz w:val="18"/>
              </w:rPr>
              <w:t>Entity</w:t>
            </w:r>
          </w:p>
        </w:tc>
        <w:tc>
          <w:tcPr>
            <w:tcW w:type="dxa" w:w="4900"/>
            <w:vAlign w:val="center"/>
            <w:tcMar>
              <w:top w:w="80" w:type="dxa"/>
              <w:bottom w:w="80" w:type="dxa"/>
              <w:start w:w="120" w:type="dxa"/>
              <w:end w:w="120" w:type="dxa"/>
            </w:tcMar>
            <w:shd w:fill="1F4D78"/>
          </w:tcPr>
          <w:p>
            <w:pPr>
              <w:spacing w:after="0" w:line="264" w:lineRule="auto"/>
              <w:jc w:val="left"/>
            </w:pPr>
            <w:r/>
            <w:r>
              <w:rPr>
                <w:rFonts w:ascii="Calibri" w:hAnsi="Calibri"/>
                <w:b/>
                <w:i w:val="0"/>
                <w:color w:val="FFFFFF"/>
                <w:sz w:val="18"/>
              </w:rPr>
              <w:t>Important fields</w:t>
            </w:r>
          </w:p>
        </w:tc>
        <w:tc>
          <w:tcPr>
            <w:tcW w:type="dxa" w:w="2910"/>
            <w:vAlign w:val="center"/>
            <w:tcMar>
              <w:top w:w="80" w:type="dxa"/>
              <w:bottom w:w="80" w:type="dxa"/>
              <w:start w:w="120" w:type="dxa"/>
              <w:end w:w="120" w:type="dxa"/>
            </w:tcMar>
            <w:shd w:fill="1F4D78"/>
          </w:tcPr>
          <w:p>
            <w:pPr>
              <w:spacing w:after="0" w:line="264" w:lineRule="auto"/>
              <w:jc w:val="left"/>
            </w:pPr>
            <w:r/>
            <w:r>
              <w:rPr>
                <w:rFonts w:ascii="Calibri" w:hAnsi="Calibri"/>
                <w:b/>
                <w:i w:val="0"/>
                <w:color w:val="FFFFFF"/>
                <w:sz w:val="18"/>
              </w:rPr>
              <w:t>Relationship</w:t>
            </w:r>
          </w:p>
        </w:tc>
      </w:tr>
      <w:tr>
        <w:trPr>
          <w:cantSplit/>
        </w:trPr>
        <w:tc>
          <w:tcPr>
            <w:tcW w:type="dxa" w:w="155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Organization</w:t>
            </w:r>
          </w:p>
        </w:tc>
        <w:tc>
          <w:tcPr>
            <w:tcW w:type="dxa" w:w="490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id, name, plan, settings, retention policy</w:t>
            </w:r>
          </w:p>
        </w:tc>
        <w:tc>
          <w:tcPr>
            <w:tcW w:type="dxa" w:w="291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Owns users, projects, templates</w:t>
            </w:r>
          </w:p>
        </w:tc>
      </w:tr>
      <w:tr>
        <w:trPr>
          <w:cantSplit/>
        </w:trPr>
        <w:tc>
          <w:tcPr>
            <w:tcW w:type="dxa" w:w="155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User / Membership</w:t>
            </w:r>
          </w:p>
        </w:tc>
        <w:tc>
          <w:tcPr>
            <w:tcW w:type="dxa" w:w="490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user, organization, role, status</w:t>
            </w:r>
          </w:p>
        </w:tc>
        <w:tc>
          <w:tcPr>
            <w:tcW w:type="dxa" w:w="291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Role-scoped access</w:t>
            </w:r>
          </w:p>
        </w:tc>
      </w:tr>
      <w:tr>
        <w:trPr>
          <w:cantSplit/>
        </w:trPr>
        <w:tc>
          <w:tcPr>
            <w:tcW w:type="dxa" w:w="155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Project</w:t>
            </w:r>
          </w:p>
        </w:tc>
        <w:tc>
          <w:tcPr>
            <w:tcW w:type="dxa" w:w="490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customer, address, jurisdiction, project type, trade pack, lifecycle</w:t>
            </w:r>
          </w:p>
        </w:tc>
        <w:tc>
          <w:tcPr>
            <w:tcW w:type="dxa" w:w="291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Parent of all project work</w:t>
            </w:r>
          </w:p>
        </w:tc>
      </w:tr>
      <w:tr>
        <w:trPr>
          <w:cantSplit/>
        </w:trPr>
        <w:tc>
          <w:tcPr>
            <w:tcW w:type="dxa" w:w="155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ProjectFact</w:t>
            </w:r>
          </w:p>
        </w:tc>
        <w:tc>
          <w:tcPr>
            <w:tcW w:type="dxa" w:w="490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key, typed value, source, confidence, review status, version</w:t>
            </w:r>
          </w:p>
        </w:tc>
        <w:tc>
          <w:tcPr>
            <w:tcW w:type="dxa" w:w="291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Many per project</w:t>
            </w:r>
          </w:p>
        </w:tc>
      </w:tr>
      <w:tr>
        <w:trPr>
          <w:cantSplit/>
        </w:trPr>
        <w:tc>
          <w:tcPr>
            <w:tcW w:type="dxa" w:w="155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Document</w:t>
            </w:r>
          </w:p>
        </w:tc>
        <w:tc>
          <w:tcPr>
            <w:tcW w:type="dxa" w:w="490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file metadata, type, storage key, current version</w:t>
            </w:r>
          </w:p>
        </w:tc>
        <w:tc>
          <w:tcPr>
            <w:tcW w:type="dxa" w:w="291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Parent of versions</w:t>
            </w:r>
          </w:p>
        </w:tc>
      </w:tr>
      <w:tr>
        <w:trPr>
          <w:cantSplit/>
        </w:trPr>
        <w:tc>
          <w:tcPr>
            <w:tcW w:type="dxa" w:w="155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DocumentVersion</w:t>
            </w:r>
          </w:p>
        </w:tc>
        <w:tc>
          <w:tcPr>
            <w:tcW w:type="dxa" w:w="490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version, checksum, uploader, extracted text, review state</w:t>
            </w:r>
          </w:p>
        </w:tc>
        <w:tc>
          <w:tcPr>
            <w:tcW w:type="dxa" w:w="291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Immutable file version</w:t>
            </w:r>
          </w:p>
        </w:tc>
      </w:tr>
      <w:tr>
        <w:trPr>
          <w:cantSplit/>
        </w:trPr>
        <w:tc>
          <w:tcPr>
            <w:tcW w:type="dxa" w:w="155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Permit</w:t>
            </w:r>
          </w:p>
        </w:tc>
        <w:tc>
          <w:tcPr>
            <w:tcW w:type="dxa" w:w="490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permit key, agency, reason, confidence, required, lifecycle</w:t>
            </w:r>
          </w:p>
        </w:tc>
        <w:tc>
          <w:tcPr>
            <w:tcW w:type="dxa" w:w="291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Many per project</w:t>
            </w:r>
          </w:p>
        </w:tc>
      </w:tr>
      <w:tr>
        <w:trPr>
          <w:cantSplit/>
        </w:trPr>
        <w:tc>
          <w:tcPr>
            <w:tcW w:type="dxa" w:w="155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Requirement</w:t>
            </w:r>
          </w:p>
        </w:tc>
        <w:tc>
          <w:tcPr>
            <w:tcW w:type="dxa" w:w="490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pack rule ID, label, requiredness, status, source ID</w:t>
            </w:r>
          </w:p>
        </w:tc>
        <w:tc>
          <w:tcPr>
            <w:tcW w:type="dxa" w:w="291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Many per permit</w:t>
            </w:r>
          </w:p>
        </w:tc>
      </w:tr>
      <w:tr>
        <w:trPr>
          <w:cantSplit/>
        </w:trPr>
        <w:tc>
          <w:tcPr>
            <w:tcW w:type="dxa" w:w="155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RequirementMatch</w:t>
            </w:r>
          </w:p>
        </w:tc>
        <w:tc>
          <w:tcPr>
            <w:tcW w:type="dxa" w:w="490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requirement, document version, match type, confidence, reviewer</w:t>
            </w:r>
          </w:p>
        </w:tc>
        <w:tc>
          <w:tcPr>
            <w:tcW w:type="dxa" w:w="2910"/>
            <w:vAlign w:val="center"/>
            <w:tcMar>
              <w:top w:w="80" w:type="dxa"/>
              <w:bottom w:w="80" w:type="dxa"/>
              <w:start w:w="120" w:type="dxa"/>
              <w:end w:w="120" w:type="dxa"/>
            </w:tcMar>
          </w:tcPr>
          <w:p>
            <w:pPr>
              <w:spacing w:after="0" w:line="264" w:lineRule="auto"/>
              <w:jc w:val="center"/>
            </w:pPr>
            <w:r/>
            <w:r>
              <w:rPr>
                <w:rFonts w:ascii="Calibri" w:hAnsi="Calibri"/>
                <w:b w:val="0"/>
                <w:i w:val="0"/>
                <w:color w:val="222222"/>
                <w:sz w:val="18"/>
              </w:rPr>
              <w:t>Join record</w:t>
            </w:r>
          </w:p>
        </w:tc>
      </w:tr>
      <w:tr>
        <w:trPr>
          <w:cantSplit/>
        </w:trPr>
        <w:tc>
          <w:tcPr>
            <w:tcW w:type="dxa" w:w="155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Finding</w:t>
            </w:r>
          </w:p>
        </w:tc>
        <w:tc>
          <w:tcPr>
            <w:tcW w:type="dxa" w:w="490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severity, rule ID, message, evidence, status, reviewer</w:t>
            </w:r>
          </w:p>
        </w:tc>
        <w:tc>
          <w:tcPr>
            <w:tcW w:type="dxa" w:w="291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Permit or project scoped</w:t>
            </w:r>
          </w:p>
        </w:tc>
      </w:tr>
      <w:tr>
        <w:trPr>
          <w:cantSplit/>
        </w:trPr>
        <w:tc>
          <w:tcPr>
            <w:tcW w:type="dxa" w:w="155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Issue / Task</w:t>
            </w:r>
          </w:p>
        </w:tc>
        <w:tc>
          <w:tcPr>
            <w:tcW w:type="dxa" w:w="490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title, owner, due date, status, source object</w:t>
            </w:r>
          </w:p>
        </w:tc>
        <w:tc>
          <w:tcPr>
            <w:tcW w:type="dxa" w:w="291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Actionable workflow</w:t>
            </w:r>
          </w:p>
        </w:tc>
      </w:tr>
      <w:tr>
        <w:trPr>
          <w:cantSplit/>
        </w:trPr>
        <w:tc>
          <w:tcPr>
            <w:tcW w:type="dxa" w:w="155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Comment</w:t>
            </w:r>
          </w:p>
        </w:tc>
        <w:tc>
          <w:tcPr>
            <w:tcW w:type="dxa" w:w="490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author, object type/id, body, resolution state</w:t>
            </w:r>
          </w:p>
        </w:tc>
        <w:tc>
          <w:tcPr>
            <w:tcW w:type="dxa" w:w="291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Contextual feedback</w:t>
            </w:r>
          </w:p>
        </w:tc>
      </w:tr>
      <w:tr>
        <w:trPr>
          <w:cantSplit/>
        </w:trPr>
        <w:tc>
          <w:tcPr>
            <w:tcW w:type="dxa" w:w="155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StatusEvent</w:t>
            </w:r>
          </w:p>
        </w:tc>
        <w:tc>
          <w:tcPr>
            <w:tcW w:type="dxa" w:w="490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from, to, actor, date, evidence, external reference</w:t>
            </w:r>
          </w:p>
        </w:tc>
        <w:tc>
          <w:tcPr>
            <w:tcW w:type="dxa" w:w="291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Append-only lifecycle</w:t>
            </w:r>
          </w:p>
        </w:tc>
      </w:tr>
      <w:tr>
        <w:trPr>
          <w:cantSplit/>
        </w:trPr>
        <w:tc>
          <w:tcPr>
            <w:tcW w:type="dxa" w:w="155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Inspection</w:t>
            </w:r>
          </w:p>
        </w:tc>
        <w:tc>
          <w:tcPr>
            <w:tcW w:type="dxa" w:w="490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type, prerequisite, request/confirmed date, result, notes</w:t>
            </w:r>
          </w:p>
        </w:tc>
        <w:tc>
          <w:tcPr>
            <w:tcW w:type="dxa" w:w="2910"/>
            <w:vAlign w:val="center"/>
            <w:tcMar>
              <w:top w:w="80" w:type="dxa"/>
              <w:bottom w:w="80" w:type="dxa"/>
              <w:start w:w="120" w:type="dxa"/>
              <w:end w:w="120" w:type="dxa"/>
            </w:tcMar>
            <w:shd w:fill="F7F9FB"/>
          </w:tcPr>
          <w:p>
            <w:pPr>
              <w:spacing w:after="0" w:line="264" w:lineRule="auto"/>
              <w:jc w:val="center"/>
            </w:pPr>
            <w:r/>
            <w:r>
              <w:rPr>
                <w:rFonts w:ascii="Calibri" w:hAnsi="Calibri"/>
                <w:b w:val="0"/>
                <w:i w:val="0"/>
                <w:color w:val="222222"/>
                <w:sz w:val="18"/>
              </w:rPr>
              <w:t>Permit scoped</w:t>
            </w:r>
          </w:p>
        </w:tc>
      </w:tr>
      <w:tr>
        <w:trPr>
          <w:cantSplit/>
        </w:trPr>
        <w:tc>
          <w:tcPr>
            <w:tcW w:type="dxa" w:w="155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AnalysisRun</w:t>
            </w:r>
          </w:p>
        </w:tc>
        <w:tc>
          <w:tcPr>
            <w:tcW w:type="dxa" w:w="490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pipeline version, inputs, output snapshot, timings, errors</w:t>
            </w:r>
          </w:p>
        </w:tc>
        <w:tc>
          <w:tcPr>
            <w:tcW w:type="dxa" w:w="291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Audit and regression</w:t>
            </w:r>
          </w:p>
        </w:tc>
      </w:tr>
      <w:tr>
        <w:trPr>
          <w:cantSplit/>
        </w:trPr>
        <w:tc>
          <w:tcPr>
            <w:tcW w:type="dxa" w:w="155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KnowledgeSource</w:t>
            </w:r>
          </w:p>
        </w:tc>
        <w:tc>
          <w:tcPr>
            <w:tcW w:type="dxa" w:w="490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URL/file, authority, effective date, checked date, hash</w:t>
            </w:r>
          </w:p>
        </w:tc>
        <w:tc>
          <w:tcPr>
            <w:tcW w:type="dxa" w:w="291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Supports rules and evidence</w:t>
            </w:r>
          </w:p>
        </w:tc>
      </w:tr>
    </w:tbl>
    <w:p>
      <w:pPr>
        <w:spacing w:after="0"/>
      </w:pPr>
    </w:p>
    <w:p>
      <w:pPr>
        <w:pStyle w:val="Heading2"/>
      </w:pPr>
      <w:r>
        <w:t>Status models</w:t>
      </w:r>
    </w:p>
    <w:tbl>
      <w:tblPr>
        <w:tblW w:type="dxa" w:w="9360"/>
        <w:jc w:val="center"/>
        <w:tblLayout w:type="fixed"/>
        <w:tblLook w:firstColumn="1" w:firstRow="1" w:lastColumn="0" w:lastRow="0" w:noHBand="0" w:noVBand="1" w:val="04A0"/>
        <w:tblInd w:type="dxa" w:w="120"/>
      </w:tblPr>
      <w:tblGrid>
        <w:gridCol w:w="1900"/>
        <w:gridCol w:w="7460"/>
      </w:tblGrid>
      <w:tr>
        <w:trPr>
          <w:cantSplit/>
          <w:tblHeader w:val="true"/>
        </w:trPr>
        <w:tc>
          <w:tcPr>
            <w:tcW w:type="dxa" w:w="1900"/>
            <w:vAlign w:val="center"/>
            <w:tcMar>
              <w:top w:w="80" w:type="dxa"/>
              <w:bottom w:w="80" w:type="dxa"/>
              <w:start w:w="120" w:type="dxa"/>
              <w:end w:w="120" w:type="dxa"/>
            </w:tcMar>
            <w:shd w:fill="1F4D78"/>
          </w:tcPr>
          <w:p>
            <w:pPr>
              <w:spacing w:after="0" w:line="264" w:lineRule="auto"/>
              <w:jc w:val="left"/>
            </w:pPr>
            <w:r/>
            <w:r>
              <w:rPr>
                <w:rFonts w:ascii="Calibri" w:hAnsi="Calibri"/>
                <w:b/>
                <w:i w:val="0"/>
                <w:color w:val="FFFFFF"/>
                <w:sz w:val="18"/>
              </w:rPr>
              <w:t>Object</w:t>
            </w:r>
          </w:p>
        </w:tc>
        <w:tc>
          <w:tcPr>
            <w:tcW w:type="dxa" w:w="7460"/>
            <w:vAlign w:val="center"/>
            <w:tcMar>
              <w:top w:w="80" w:type="dxa"/>
              <w:bottom w:w="80" w:type="dxa"/>
              <w:start w:w="120" w:type="dxa"/>
              <w:end w:w="120" w:type="dxa"/>
            </w:tcMar>
            <w:shd w:fill="1F4D78"/>
          </w:tcPr>
          <w:p>
            <w:pPr>
              <w:spacing w:after="0" w:line="264" w:lineRule="auto"/>
              <w:jc w:val="left"/>
            </w:pPr>
            <w:r/>
            <w:r>
              <w:rPr>
                <w:rFonts w:ascii="Calibri" w:hAnsi="Calibri"/>
                <w:b/>
                <w:i w:val="0"/>
                <w:color w:val="FFFFFF"/>
                <w:sz w:val="18"/>
              </w:rPr>
              <w:t>Recommended statuses</w:t>
            </w:r>
          </w:p>
        </w:tc>
      </w:tr>
      <w:tr>
        <w:trPr>
          <w:cantSplit/>
        </w:trPr>
        <w:tc>
          <w:tcPr>
            <w:tcW w:type="dxa" w:w="190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Requirement</w:t>
            </w:r>
          </w:p>
        </w:tc>
        <w:tc>
          <w:tcPr>
            <w:tcW w:type="dxa" w:w="746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required_missing, received_unreviewed, satisfied, uncertain, not_applicable</w:t>
            </w:r>
          </w:p>
        </w:tc>
      </w:tr>
      <w:tr>
        <w:trPr>
          <w:cantSplit/>
        </w:trPr>
        <w:tc>
          <w:tcPr>
            <w:tcW w:type="dxa" w:w="190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Permit readiness</w:t>
            </w:r>
          </w:p>
        </w:tc>
        <w:tc>
          <w:tcPr>
            <w:tcW w:type="dxa" w:w="746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ready, missing_documents, needs_review, high_risk</w:t>
            </w:r>
          </w:p>
        </w:tc>
      </w:tr>
      <w:tr>
        <w:trPr>
          <w:cantSplit/>
        </w:trPr>
        <w:tc>
          <w:tcPr>
            <w:tcW w:type="dxa" w:w="190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Project readiness</w:t>
            </w:r>
          </w:p>
        </w:tc>
        <w:tc>
          <w:tcPr>
            <w:tcW w:type="dxa" w:w="746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ready_to_prepare, needs_more_documents, needs_project_changes, high_submission_risk</w:t>
            </w:r>
          </w:p>
        </w:tc>
      </w:tr>
      <w:tr>
        <w:trPr>
          <w:cantSplit/>
        </w:trPr>
        <w:tc>
          <w:tcPr>
            <w:tcW w:type="dxa" w:w="190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Permit lifecycle</w:t>
            </w:r>
          </w:p>
        </w:tc>
        <w:tc>
          <w:tcPr>
            <w:tcW w:type="dxa" w:w="746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research, preparing, ready_to_file, submitted, in_review, corrections, issued, inspections, closed</w:t>
            </w:r>
          </w:p>
        </w:tc>
      </w:tr>
      <w:tr>
        <w:trPr>
          <w:cantSplit/>
        </w:trPr>
        <w:tc>
          <w:tcPr>
            <w:tcW w:type="dxa" w:w="190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Finding</w:t>
            </w:r>
          </w:p>
        </w:tc>
        <w:tc>
          <w:tcPr>
            <w:tcW w:type="dxa" w:w="746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open, accepted, resolved, false_positive, expert_review_required</w:t>
            </w:r>
          </w:p>
        </w:tc>
      </w:tr>
      <w:tr>
        <w:trPr>
          <w:cantSplit/>
        </w:trPr>
        <w:tc>
          <w:tcPr>
            <w:tcW w:type="dxa" w:w="190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Task</w:t>
            </w:r>
          </w:p>
        </w:tc>
        <w:tc>
          <w:tcPr>
            <w:tcW w:type="dxa" w:w="746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open, in_progress, blocked, completed, cancelled</w:t>
            </w:r>
          </w:p>
        </w:tc>
      </w:tr>
    </w:tbl>
    <w:p>
      <w:pPr>
        <w:spacing w:after="0"/>
      </w:pPr>
    </w:p>
    <w:p>
      <w:pPr>
        <w:pStyle w:val="Heading1"/>
      </w:pPr>
      <w:r>
        <w:t>5. Knowledge-pack architecture</w:t>
      </w:r>
    </w:p>
    <w:tbl>
      <w:tblPr>
        <w:tblW w:type="dxa" w:w="9360"/>
        <w:jc w:val="center"/>
        <w:tblLayout w:type="fixed"/>
        <w:tblLook w:firstColumn="1" w:firstRow="1" w:lastColumn="0" w:lastRow="0" w:noHBand="0" w:noVBand="1" w:val="04A0"/>
        <w:tblInd w:type="dxa" w:w="150"/>
      </w:tblPr>
      <w:tblGrid>
        <w:gridCol w:w="9360"/>
      </w:tblGrid>
      <w:tr>
        <w:trPr>
          <w:cantSplit/>
          <w:tblHeader w:val="true"/>
        </w:trPr>
        <w:tc>
          <w:tcPr>
            <w:tcW w:type="dxa" w:w="9360"/>
            <w:shd w:fill="FFF6E0"/>
            <w:tcMar>
              <w:top w:w="130" w:type="dxa"/>
              <w:bottom w:w="130" w:type="dxa"/>
              <w:start w:w="150" w:type="dxa"/>
              <w:end w:w="150" w:type="dxa"/>
            </w:tcMar>
          </w:tcPr>
          <w:p>
            <w:pPr>
              <w:spacing w:after="0" w:line="283" w:lineRule="auto"/>
            </w:pPr>
            <w:r/>
            <w:r>
              <w:rPr>
                <w:rFonts w:ascii="Calibri" w:hAnsi="Calibri"/>
                <w:b/>
                <w:i w:val="0"/>
                <w:color w:val="7A5A00"/>
                <w:sz w:val="18"/>
              </w:rPr>
              <w:t xml:space="preserve">CRITICAL DESIGN CHOICE  </w:t>
            </w:r>
            <w:r>
              <w:rPr>
                <w:rFonts w:ascii="Calibri" w:hAnsi="Calibri"/>
                <w:b w:val="0"/>
                <w:i w:val="0"/>
                <w:color w:val="0B2545"/>
                <w:sz w:val="21"/>
              </w:rPr>
              <w:t>A pack is not a prompt. It is a versioned, schema-validated bundle of authoritative sources, permit definitions, applicability expressions, requirements, dependencies, inspections, and presentation metadata.</w:t>
            </w:r>
          </w:p>
        </w:tc>
      </w:tr>
    </w:tbl>
    <w:p>
      <w:pPr>
        <w:spacing w:after="0"/>
      </w:pPr>
    </w:p>
    <w:tbl>
      <w:tblPr>
        <w:tblW w:type="dxa" w:w="9360"/>
        <w:jc w:val="center"/>
        <w:tblLayout w:type="fixed"/>
        <w:tblLook w:firstColumn="1" w:firstRow="1" w:lastColumn="0" w:lastRow="0" w:noHBand="0" w:noVBand="1" w:val="04A0"/>
        <w:tblInd w:type="dxa" w:w="120"/>
      </w:tblPr>
      <w:tblGrid>
        <w:gridCol w:w="1750"/>
        <w:gridCol w:w="4210"/>
        <w:gridCol w:w="3400"/>
      </w:tblGrid>
      <w:tr>
        <w:trPr>
          <w:cantSplit/>
          <w:tblHeader w:val="true"/>
        </w:trPr>
        <w:tc>
          <w:tcPr>
            <w:tcW w:type="dxa" w:w="1750"/>
            <w:vAlign w:val="center"/>
            <w:tcMar>
              <w:top w:w="80" w:type="dxa"/>
              <w:bottom w:w="80" w:type="dxa"/>
              <w:start w:w="120" w:type="dxa"/>
              <w:end w:w="120" w:type="dxa"/>
            </w:tcMar>
            <w:shd w:fill="1F4D78"/>
          </w:tcPr>
          <w:p>
            <w:pPr>
              <w:spacing w:after="0" w:line="264" w:lineRule="auto"/>
              <w:jc w:val="left"/>
            </w:pPr>
            <w:r/>
            <w:r>
              <w:rPr>
                <w:rFonts w:ascii="Calibri" w:hAnsi="Calibri"/>
                <w:b/>
                <w:i w:val="0"/>
                <w:color w:val="FFFFFF"/>
                <w:sz w:val="18"/>
              </w:rPr>
              <w:t>Pack layer</w:t>
            </w:r>
          </w:p>
        </w:tc>
        <w:tc>
          <w:tcPr>
            <w:tcW w:type="dxa" w:w="4210"/>
            <w:vAlign w:val="center"/>
            <w:tcMar>
              <w:top w:w="80" w:type="dxa"/>
              <w:bottom w:w="80" w:type="dxa"/>
              <w:start w:w="120" w:type="dxa"/>
              <w:end w:w="120" w:type="dxa"/>
            </w:tcMar>
            <w:shd w:fill="1F4D78"/>
          </w:tcPr>
          <w:p>
            <w:pPr>
              <w:spacing w:after="0" w:line="264" w:lineRule="auto"/>
              <w:jc w:val="left"/>
            </w:pPr>
            <w:r/>
            <w:r>
              <w:rPr>
                <w:rFonts w:ascii="Calibri" w:hAnsi="Calibri"/>
                <w:b/>
                <w:i w:val="0"/>
                <w:color w:val="FFFFFF"/>
                <w:sz w:val="18"/>
              </w:rPr>
              <w:t>Contents</w:t>
            </w:r>
          </w:p>
        </w:tc>
        <w:tc>
          <w:tcPr>
            <w:tcW w:type="dxa" w:w="3400"/>
            <w:vAlign w:val="center"/>
            <w:tcMar>
              <w:top w:w="80" w:type="dxa"/>
              <w:bottom w:w="80" w:type="dxa"/>
              <w:start w:w="120" w:type="dxa"/>
              <w:end w:w="120" w:type="dxa"/>
            </w:tcMar>
            <w:shd w:fill="1F4D78"/>
          </w:tcPr>
          <w:p>
            <w:pPr>
              <w:spacing w:after="0" w:line="264" w:lineRule="auto"/>
              <w:jc w:val="left"/>
            </w:pPr>
            <w:r/>
            <w:r>
              <w:rPr>
                <w:rFonts w:ascii="Calibri" w:hAnsi="Calibri"/>
                <w:b/>
                <w:i w:val="0"/>
                <w:color w:val="FFFFFF"/>
                <w:sz w:val="18"/>
              </w:rPr>
              <w:t>Example</w:t>
            </w:r>
          </w:p>
        </w:tc>
      </w:tr>
      <w:tr>
        <w:trPr>
          <w:cantSplit/>
        </w:trPr>
        <w:tc>
          <w:tcPr>
            <w:tcW w:type="dxa" w:w="175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Jurisdiction core</w:t>
            </w:r>
          </w:p>
        </w:tc>
        <w:tc>
          <w:tcPr>
            <w:tcW w:type="dxa" w:w="421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Agency metadata, common sources, lifecycle, portal links, shared terminology</w:t>
            </w:r>
          </w:p>
        </w:tc>
        <w:tc>
          <w:tcPr>
            <w:tcW w:type="dxa" w:w="340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KCMO/CompassKC</w:t>
            </w:r>
          </w:p>
        </w:tc>
      </w:tr>
      <w:tr>
        <w:trPr>
          <w:cantSplit/>
        </w:trPr>
        <w:tc>
          <w:tcPr>
            <w:tcW w:type="dxa" w:w="175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Trade overlay</w:t>
            </w:r>
          </w:p>
        </w:tc>
        <w:tc>
          <w:tcPr>
            <w:tcW w:type="dxa" w:w="421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Trade intake fields, permit definitions, requirements, inspections, common corrections</w:t>
            </w:r>
          </w:p>
        </w:tc>
        <w:tc>
          <w:tcPr>
            <w:tcW w:type="dxa" w:w="340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Mechanical/HVAC</w:t>
            </w:r>
          </w:p>
        </w:tc>
      </w:tr>
      <w:tr>
        <w:trPr>
          <w:cantSplit/>
        </w:trPr>
        <w:tc>
          <w:tcPr>
            <w:tcW w:type="dxa" w:w="175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Project overlay</w:t>
            </w:r>
          </w:p>
        </w:tc>
        <w:tc>
          <w:tcPr>
            <w:tcW w:type="dxa" w:w="421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Rules specific to replacement, new installation, remodel, tenant work</w:t>
            </w:r>
          </w:p>
        </w:tc>
        <w:tc>
          <w:tcPr>
            <w:tcW w:type="dxa" w:w="340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Furnace replacement</w:t>
            </w:r>
          </w:p>
        </w:tc>
      </w:tr>
      <w:tr>
        <w:trPr>
          <w:cantSplit/>
        </w:trPr>
        <w:tc>
          <w:tcPr>
            <w:tcW w:type="dxa" w:w="175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Source registry</w:t>
            </w:r>
          </w:p>
        </w:tc>
        <w:tc>
          <w:tcPr>
            <w:tcW w:type="dxa" w:w="421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URL/file, title, authority, effective/update dates, checksum</w:t>
            </w:r>
          </w:p>
        </w:tc>
        <w:tc>
          <w:tcPr>
            <w:tcW w:type="dxa" w:w="340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KCMO information bulletin</w:t>
            </w:r>
          </w:p>
        </w:tc>
      </w:tr>
      <w:tr>
        <w:trPr>
          <w:cantSplit/>
        </w:trPr>
        <w:tc>
          <w:tcPr>
            <w:tcW w:type="dxa" w:w="175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UI schema</w:t>
            </w:r>
          </w:p>
        </w:tc>
        <w:tc>
          <w:tcPr>
            <w:tcW w:type="dxa" w:w="421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Question groups, help text, visibility conditions, labels</w:t>
            </w:r>
          </w:p>
        </w:tc>
        <w:tc>
          <w:tcPr>
            <w:tcW w:type="dxa" w:w="340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Equipment and scope questions</w:t>
            </w:r>
          </w:p>
        </w:tc>
      </w:tr>
      <w:tr>
        <w:trPr>
          <w:cantSplit/>
        </w:trPr>
        <w:tc>
          <w:tcPr>
            <w:tcW w:type="dxa" w:w="175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Test fixtures</w:t>
            </w:r>
          </w:p>
        </w:tc>
        <w:tc>
          <w:tcPr>
            <w:tcW w:type="dxa" w:w="421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Inputs and expected permit/requirement results</w:t>
            </w:r>
          </w:p>
        </w:tc>
        <w:tc>
          <w:tcPr>
            <w:tcW w:type="dxa" w:w="340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Historical project replay</w:t>
            </w:r>
          </w:p>
        </w:tc>
      </w:tr>
    </w:tbl>
    <w:p>
      <w:pPr>
        <w:spacing w:after="0"/>
      </w:pPr>
    </w:p>
    <w:p>
      <w:pPr>
        <w:pStyle w:val="Heading2"/>
      </w:pPr>
      <w:r>
        <w:t>Proposed file contract</w:t>
      </w:r>
    </w:p>
    <w:p>
      <w:pPr>
        <w:pStyle w:val="ListBullet"/>
      </w:pPr>
      <w:r>
        <w:rPr>
          <w:rFonts w:ascii="Calibri" w:hAnsi="Calibri"/>
          <w:b w:val="0"/>
          <w:i w:val="0"/>
          <w:color w:val="222222"/>
          <w:sz w:val="21"/>
        </w:rPr>
        <w:t>metadata.json - jurisdiction identity, agencies, coverage, pack version, review owner.</w:t>
      </w:r>
    </w:p>
    <w:p>
      <w:pPr>
        <w:pStyle w:val="ListBullet"/>
      </w:pPr>
      <w:r>
        <w:rPr>
          <w:rFonts w:ascii="Calibri" w:hAnsi="Calibri"/>
          <w:b w:val="0"/>
          <w:i w:val="0"/>
          <w:color w:val="222222"/>
          <w:sz w:val="21"/>
        </w:rPr>
        <w:t>sources.json - authoritative source registry with freshness and hashes.</w:t>
      </w:r>
    </w:p>
    <w:p>
      <w:pPr>
        <w:pStyle w:val="ListBullet"/>
      </w:pPr>
      <w:r>
        <w:rPr>
          <w:rFonts w:ascii="Calibri" w:hAnsi="Calibri"/>
          <w:b w:val="0"/>
          <w:i w:val="0"/>
          <w:color w:val="222222"/>
          <w:sz w:val="21"/>
        </w:rPr>
        <w:t>intake_schema.json - typed fields, validation, conditional visibility, trade help text.</w:t>
      </w:r>
    </w:p>
    <w:p>
      <w:pPr>
        <w:pStyle w:val="ListBullet"/>
      </w:pPr>
      <w:r>
        <w:rPr>
          <w:rFonts w:ascii="Calibri" w:hAnsi="Calibri"/>
          <w:b w:val="0"/>
          <w:i w:val="0"/>
          <w:color w:val="222222"/>
          <w:sz w:val="21"/>
        </w:rPr>
        <w:t>permit_catalog.json - permit definitions, agency, dependencies, lifecycle and inspection references.</w:t>
      </w:r>
    </w:p>
    <w:p>
      <w:pPr>
        <w:pStyle w:val="ListBullet"/>
      </w:pPr>
      <w:r>
        <w:rPr>
          <w:rFonts w:ascii="Calibri" w:hAnsi="Calibri"/>
          <w:b w:val="0"/>
          <w:i w:val="0"/>
          <w:color w:val="222222"/>
          <w:sz w:val="21"/>
        </w:rPr>
        <w:t>applicability_rules.json - deterministic expressions over normalized project facts.</w:t>
      </w:r>
    </w:p>
    <w:p>
      <w:pPr>
        <w:pStyle w:val="ListBullet"/>
      </w:pPr>
      <w:r>
        <w:rPr>
          <w:rFonts w:ascii="Calibri" w:hAnsi="Calibri"/>
          <w:b w:val="0"/>
          <w:i w:val="0"/>
          <w:color w:val="222222"/>
          <w:sz w:val="21"/>
        </w:rPr>
        <w:t>document_requirements.json - required/conditional documents and satisfaction rules.</w:t>
      </w:r>
    </w:p>
    <w:p>
      <w:pPr>
        <w:pStyle w:val="ListBullet"/>
      </w:pPr>
      <w:r>
        <w:rPr>
          <w:rFonts w:ascii="Calibri" w:hAnsi="Calibri"/>
          <w:b w:val="0"/>
          <w:i w:val="0"/>
          <w:color w:val="222222"/>
          <w:sz w:val="21"/>
        </w:rPr>
        <w:t>review_rules.json - deterministic checks, severity, evidence and remediation text.</w:t>
      </w:r>
    </w:p>
    <w:p>
      <w:pPr>
        <w:pStyle w:val="ListBullet"/>
      </w:pPr>
      <w:r>
        <w:rPr>
          <w:rFonts w:ascii="Calibri" w:hAnsi="Calibri"/>
          <w:b w:val="0"/>
          <w:i w:val="0"/>
          <w:color w:val="222222"/>
          <w:sz w:val="21"/>
        </w:rPr>
        <w:t>inspection_requirements.json - prerequisites, sequence and result categories.</w:t>
      </w:r>
    </w:p>
    <w:p>
      <w:pPr>
        <w:pStyle w:val="ListBullet"/>
      </w:pPr>
      <w:r>
        <w:rPr>
          <w:rFonts w:ascii="Calibri" w:hAnsi="Calibri"/>
          <w:b w:val="0"/>
          <w:i w:val="0"/>
          <w:color w:val="222222"/>
          <w:sz w:val="21"/>
        </w:rPr>
        <w:t>fixtures/ - positive, negative, ambiguous, and regression examples.</w:t>
      </w:r>
    </w:p>
    <w:p>
      <w:pPr>
        <w:pStyle w:val="Heading2"/>
      </w:pPr>
      <w:r>
        <w:t>Pack validation</w:t>
      </w:r>
    </w:p>
    <w:p>
      <w:pPr>
        <w:pStyle w:val="ListBullet"/>
      </w:pPr>
      <w:r>
        <w:rPr>
          <w:rFonts w:ascii="Calibri" w:hAnsi="Calibri"/>
          <w:b w:val="0"/>
          <w:i w:val="0"/>
          <w:color w:val="222222"/>
          <w:sz w:val="21"/>
        </w:rPr>
        <w:t>JSON Schema/Pydantic validation in CI.</w:t>
      </w:r>
    </w:p>
    <w:p>
      <w:pPr>
        <w:pStyle w:val="ListBullet"/>
      </w:pPr>
      <w:r>
        <w:rPr>
          <w:rFonts w:ascii="Calibri" w:hAnsi="Calibri"/>
          <w:b w:val="0"/>
          <w:i w:val="0"/>
          <w:color w:val="222222"/>
          <w:sz w:val="21"/>
        </w:rPr>
        <w:t>No rule without a source ID unless explicitly marked business workflow guidance.</w:t>
      </w:r>
    </w:p>
    <w:p>
      <w:pPr>
        <w:pStyle w:val="ListBullet"/>
      </w:pPr>
      <w:r>
        <w:rPr>
          <w:rFonts w:ascii="Calibri" w:hAnsi="Calibri"/>
          <w:b w:val="0"/>
          <w:i w:val="0"/>
          <w:color w:val="222222"/>
          <w:sz w:val="21"/>
        </w:rPr>
        <w:t>No active source without authority, checked date, and effective/update information where available.</w:t>
      </w:r>
    </w:p>
    <w:p>
      <w:pPr>
        <w:pStyle w:val="ListBullet"/>
      </w:pPr>
      <w:r>
        <w:rPr>
          <w:rFonts w:ascii="Calibri" w:hAnsi="Calibri"/>
          <w:b w:val="0"/>
          <w:i w:val="0"/>
          <w:color w:val="222222"/>
          <w:sz w:val="21"/>
        </w:rPr>
        <w:t>Every permit has at least one applicability fixture and one non-applicability fixture.</w:t>
      </w:r>
    </w:p>
    <w:p>
      <w:pPr>
        <w:pStyle w:val="ListBullet"/>
      </w:pPr>
      <w:r>
        <w:rPr>
          <w:rFonts w:ascii="Calibri" w:hAnsi="Calibri"/>
          <w:b w:val="0"/>
          <w:i w:val="0"/>
          <w:color w:val="222222"/>
          <w:sz w:val="21"/>
        </w:rPr>
        <w:t>Every conditional requirement has boundary tests.</w:t>
      </w:r>
    </w:p>
    <w:p>
      <w:pPr>
        <w:pStyle w:val="ListBullet"/>
      </w:pPr>
      <w:r>
        <w:rPr>
          <w:rFonts w:ascii="Calibri" w:hAnsi="Calibri"/>
          <w:b w:val="0"/>
          <w:i w:val="0"/>
          <w:color w:val="222222"/>
          <w:sz w:val="21"/>
        </w:rPr>
        <w:t>Pack versions are immutable after release; changes create a new version and changelog.</w:t>
      </w:r>
    </w:p>
    <w:p>
      <w:pPr>
        <w:pStyle w:val="ListBullet"/>
      </w:pPr>
      <w:r>
        <w:rPr>
          <w:rFonts w:ascii="Calibri" w:hAnsi="Calibri"/>
          <w:b w:val="0"/>
          <w:i w:val="0"/>
          <w:color w:val="222222"/>
          <w:sz w:val="21"/>
        </w:rPr>
        <w:t>Projects retain the pack version used for each analysis.</w:t>
      </w:r>
    </w:p>
    <w:p>
      <w:pPr>
        <w:pStyle w:val="Heading1"/>
      </w:pPr>
      <w:r>
        <w:t>6. Analysis pipeline</w:t>
      </w:r>
    </w:p>
    <w:tbl>
      <w:tblPr>
        <w:tblW w:type="dxa" w:w="9360"/>
        <w:jc w:val="center"/>
        <w:tblLayout w:type="fixed"/>
        <w:tblLook w:firstColumn="1" w:firstRow="1" w:lastColumn="0" w:lastRow="0" w:noHBand="0" w:noVBand="1" w:val="04A0"/>
        <w:tblInd w:type="dxa" w:w="120"/>
      </w:tblPr>
      <w:tblGrid>
        <w:gridCol w:w="1320"/>
        <w:gridCol w:w="4210"/>
        <w:gridCol w:w="3830"/>
      </w:tblGrid>
      <w:tr>
        <w:trPr>
          <w:cantSplit/>
          <w:tblHeader w:val="true"/>
        </w:trPr>
        <w:tc>
          <w:tcPr>
            <w:tcW w:type="dxa" w:w="1320"/>
            <w:vAlign w:val="center"/>
            <w:tcMar>
              <w:top w:w="80" w:type="dxa"/>
              <w:bottom w:w="80" w:type="dxa"/>
              <w:start w:w="120" w:type="dxa"/>
              <w:end w:w="120" w:type="dxa"/>
            </w:tcMar>
            <w:shd w:fill="1F4D78"/>
          </w:tcPr>
          <w:p>
            <w:pPr>
              <w:spacing w:after="0" w:line="264" w:lineRule="auto"/>
              <w:jc w:val="left"/>
            </w:pPr>
            <w:r/>
            <w:r>
              <w:rPr>
                <w:rFonts w:ascii="Calibri" w:hAnsi="Calibri"/>
                <w:b/>
                <w:i w:val="0"/>
                <w:color w:val="FFFFFF"/>
                <w:sz w:val="18"/>
              </w:rPr>
              <w:t>Stage</w:t>
            </w:r>
          </w:p>
        </w:tc>
        <w:tc>
          <w:tcPr>
            <w:tcW w:type="dxa" w:w="4210"/>
            <w:vAlign w:val="center"/>
            <w:tcMar>
              <w:top w:w="80" w:type="dxa"/>
              <w:bottom w:w="80" w:type="dxa"/>
              <w:start w:w="120" w:type="dxa"/>
              <w:end w:w="120" w:type="dxa"/>
            </w:tcMar>
            <w:shd w:fill="1F4D78"/>
          </w:tcPr>
          <w:p>
            <w:pPr>
              <w:spacing w:after="0" w:line="264" w:lineRule="auto"/>
              <w:jc w:val="left"/>
            </w:pPr>
            <w:r/>
            <w:r>
              <w:rPr>
                <w:rFonts w:ascii="Calibri" w:hAnsi="Calibri"/>
                <w:b/>
                <w:i w:val="0"/>
                <w:color w:val="FFFFFF"/>
                <w:sz w:val="18"/>
              </w:rPr>
              <w:t>Deterministic responsibility</w:t>
            </w:r>
          </w:p>
        </w:tc>
        <w:tc>
          <w:tcPr>
            <w:tcW w:type="dxa" w:w="3830"/>
            <w:vAlign w:val="center"/>
            <w:tcMar>
              <w:top w:w="80" w:type="dxa"/>
              <w:bottom w:w="80" w:type="dxa"/>
              <w:start w:w="120" w:type="dxa"/>
              <w:end w:w="120" w:type="dxa"/>
            </w:tcMar>
            <w:shd w:fill="1F4D78"/>
          </w:tcPr>
          <w:p>
            <w:pPr>
              <w:spacing w:after="0" w:line="264" w:lineRule="auto"/>
              <w:jc w:val="left"/>
            </w:pPr>
            <w:r/>
            <w:r>
              <w:rPr>
                <w:rFonts w:ascii="Calibri" w:hAnsi="Calibri"/>
                <w:b/>
                <w:i w:val="0"/>
                <w:color w:val="FFFFFF"/>
                <w:sz w:val="18"/>
              </w:rPr>
              <w:t>Bounded AI responsibility</w:t>
            </w:r>
          </w:p>
        </w:tc>
      </w:tr>
      <w:tr>
        <w:trPr>
          <w:cantSplit/>
        </w:trPr>
        <w:tc>
          <w:tcPr>
            <w:tcW w:type="dxa" w:w="132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1. Intake validation</w:t>
            </w:r>
          </w:p>
        </w:tc>
        <w:tc>
          <w:tcPr>
            <w:tcW w:type="dxa" w:w="421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Types, required fields, jurisdiction/trade eligibility</w:t>
            </w:r>
          </w:p>
        </w:tc>
        <w:tc>
          <w:tcPr>
            <w:tcW w:type="dxa" w:w="3830"/>
            <w:vAlign w:val="center"/>
            <w:tcMar>
              <w:top w:w="80" w:type="dxa"/>
              <w:bottom w:w="80" w:type="dxa"/>
              <w:start w:w="120" w:type="dxa"/>
              <w:end w:w="120" w:type="dxa"/>
            </w:tcMar>
          </w:tcPr>
          <w:p>
            <w:pPr>
              <w:spacing w:after="0" w:line="264" w:lineRule="auto"/>
              <w:jc w:val="center"/>
            </w:pPr>
            <w:r/>
            <w:r>
              <w:rPr>
                <w:rFonts w:ascii="Calibri" w:hAnsi="Calibri"/>
                <w:b w:val="0"/>
                <w:i w:val="0"/>
                <w:color w:val="222222"/>
                <w:sz w:val="18"/>
              </w:rPr>
              <w:t>None</w:t>
            </w:r>
          </w:p>
        </w:tc>
      </w:tr>
      <w:tr>
        <w:trPr>
          <w:cantSplit/>
        </w:trPr>
        <w:tc>
          <w:tcPr>
            <w:tcW w:type="dxa" w:w="132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2. Document processing</w:t>
            </w:r>
          </w:p>
        </w:tc>
        <w:tc>
          <w:tcPr>
            <w:tcW w:type="dxa" w:w="421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File safety, checksum, text extraction, page metadata</w:t>
            </w:r>
          </w:p>
        </w:tc>
        <w:tc>
          <w:tcPr>
            <w:tcW w:type="dxa" w:w="383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Document classification and candidate field extraction</w:t>
            </w:r>
          </w:p>
        </w:tc>
      </w:tr>
      <w:tr>
        <w:trPr>
          <w:cantSplit/>
        </w:trPr>
        <w:tc>
          <w:tcPr>
            <w:tcW w:type="dxa" w:w="132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3. Fact normalization</w:t>
            </w:r>
          </w:p>
        </w:tc>
        <w:tc>
          <w:tcPr>
            <w:tcW w:type="dxa" w:w="421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Canonical field rules, precedence, conflicts</w:t>
            </w:r>
          </w:p>
        </w:tc>
        <w:tc>
          <w:tcPr>
            <w:tcW w:type="dxa" w:w="383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Map free text to controlled values with confidence</w:t>
            </w:r>
          </w:p>
        </w:tc>
      </w:tr>
      <w:tr>
        <w:trPr>
          <w:cantSplit/>
        </w:trPr>
        <w:tc>
          <w:tcPr>
            <w:tcW w:type="dxa" w:w="132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4. Permit detection</w:t>
            </w:r>
          </w:p>
        </w:tc>
        <w:tc>
          <w:tcPr>
            <w:tcW w:type="dxa" w:w="421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Evaluate applicability expressions and dependencies</w:t>
            </w:r>
          </w:p>
        </w:tc>
        <w:tc>
          <w:tcPr>
            <w:tcW w:type="dxa" w:w="383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Explain ambiguous candidates; never silently override rules</w:t>
            </w:r>
          </w:p>
        </w:tc>
      </w:tr>
      <w:tr>
        <w:trPr>
          <w:cantSplit/>
        </w:trPr>
        <w:tc>
          <w:tcPr>
            <w:tcW w:type="dxa" w:w="132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5. Requirement matching</w:t>
            </w:r>
          </w:p>
        </w:tc>
        <w:tc>
          <w:tcPr>
            <w:tcW w:type="dxa" w:w="421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Exact metadata and reviewed matches</w:t>
            </w:r>
          </w:p>
        </w:tc>
        <w:tc>
          <w:tcPr>
            <w:tcW w:type="dxa" w:w="383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Suggest document-to-requirement matches</w:t>
            </w:r>
          </w:p>
        </w:tc>
      </w:tr>
      <w:tr>
        <w:trPr>
          <w:cantSplit/>
        </w:trPr>
        <w:tc>
          <w:tcPr>
            <w:tcW w:type="dxa" w:w="132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6. Review checks</w:t>
            </w:r>
          </w:p>
        </w:tc>
        <w:tc>
          <w:tcPr>
            <w:tcW w:type="dxa" w:w="421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Rule execution, missing items, cross-field consistency</w:t>
            </w:r>
          </w:p>
        </w:tc>
        <w:tc>
          <w:tcPr>
            <w:tcW w:type="dxa" w:w="383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Summarize evidence and draft plain-language actions</w:t>
            </w:r>
          </w:p>
        </w:tc>
      </w:tr>
      <w:tr>
        <w:trPr>
          <w:cantSplit/>
        </w:trPr>
        <w:tc>
          <w:tcPr>
            <w:tcW w:type="dxa" w:w="132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7. Readiness</w:t>
            </w:r>
          </w:p>
        </w:tc>
        <w:tc>
          <w:tcPr>
            <w:tcW w:type="dxa" w:w="421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Fixed aggregation rules</w:t>
            </w:r>
          </w:p>
        </w:tc>
        <w:tc>
          <w:tcPr>
            <w:tcW w:type="dxa" w:w="383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Narrative summary only</w:t>
            </w:r>
          </w:p>
        </w:tc>
      </w:tr>
      <w:tr>
        <w:trPr>
          <w:cantSplit/>
        </w:trPr>
        <w:tc>
          <w:tcPr>
            <w:tcW w:type="dxa" w:w="132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8. Human review</w:t>
            </w:r>
          </w:p>
        </w:tc>
        <w:tc>
          <w:tcPr>
            <w:tcW w:type="dxa" w:w="421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Approval and override controls</w:t>
            </w:r>
          </w:p>
        </w:tc>
        <w:tc>
          <w:tcPr>
            <w:tcW w:type="dxa" w:w="383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Draft response content for reviewer approval</w:t>
            </w:r>
          </w:p>
        </w:tc>
      </w:tr>
    </w:tbl>
    <w:p>
      <w:pPr>
        <w:spacing w:after="0"/>
      </w:pPr>
    </w:p>
    <w:p>
      <w:pPr>
        <w:pStyle w:val="Heading2"/>
      </w:pPr>
      <w:r>
        <w:t>AI safety and reliability contract</w:t>
      </w:r>
    </w:p>
    <w:p>
      <w:pPr>
        <w:pStyle w:val="ListBullet"/>
      </w:pPr>
      <w:r>
        <w:rPr>
          <w:rFonts w:ascii="Calibri" w:hAnsi="Calibri"/>
          <w:b w:val="0"/>
          <w:i w:val="0"/>
          <w:color w:val="222222"/>
          <w:sz w:val="21"/>
        </w:rPr>
        <w:t>Every AI output includes model/provider, prompt/template version, input references, confidence, and timestamp.</w:t>
      </w:r>
    </w:p>
    <w:p>
      <w:pPr>
        <w:pStyle w:val="ListBullet"/>
      </w:pPr>
      <w:r>
        <w:rPr>
          <w:rFonts w:ascii="Calibri" w:hAnsi="Calibri"/>
          <w:b w:val="0"/>
          <w:i w:val="0"/>
          <w:color w:val="222222"/>
          <w:sz w:val="21"/>
        </w:rPr>
        <w:t>AI suggestions cannot directly mark a permit ready, satisfy a requirement, submit a form, send a message, or change lifecycle state.</w:t>
      </w:r>
    </w:p>
    <w:p>
      <w:pPr>
        <w:pStyle w:val="ListBullet"/>
      </w:pPr>
      <w:r>
        <w:rPr>
          <w:rFonts w:ascii="Calibri" w:hAnsi="Calibri"/>
          <w:b w:val="0"/>
          <w:i w:val="0"/>
          <w:color w:val="222222"/>
          <w:sz w:val="21"/>
        </w:rPr>
        <w:t>Low-confidence extraction creates a review task instead of a guessed fact.</w:t>
      </w:r>
    </w:p>
    <w:p>
      <w:pPr>
        <w:pStyle w:val="ListBullet"/>
      </w:pPr>
      <w:r>
        <w:rPr>
          <w:rFonts w:ascii="Calibri" w:hAnsi="Calibri"/>
          <w:b w:val="0"/>
          <w:i w:val="0"/>
          <w:color w:val="222222"/>
          <w:sz w:val="21"/>
        </w:rPr>
        <w:t>Deterministic validation runs after AI output and rejects invalid schemas.</w:t>
      </w:r>
    </w:p>
    <w:p>
      <w:pPr>
        <w:pStyle w:val="ListBullet"/>
      </w:pPr>
      <w:r>
        <w:rPr>
          <w:rFonts w:ascii="Calibri" w:hAnsi="Calibri"/>
          <w:b w:val="0"/>
          <w:i w:val="0"/>
          <w:color w:val="222222"/>
          <w:sz w:val="21"/>
        </w:rPr>
        <w:t>Customer documents are not used for model training by default.</w:t>
      </w:r>
    </w:p>
    <w:p>
      <w:pPr>
        <w:pStyle w:val="ListBullet"/>
      </w:pPr>
      <w:r>
        <w:rPr>
          <w:rFonts w:ascii="Calibri" w:hAnsi="Calibri"/>
          <w:b w:val="0"/>
          <w:i w:val="0"/>
          <w:color w:val="222222"/>
          <w:sz w:val="21"/>
        </w:rPr>
        <w:t>Prompt and model changes are evaluated against fixed fixtures before release.</w:t>
      </w:r>
    </w:p>
    <w:p>
      <w:pPr>
        <w:pStyle w:val="ListBullet"/>
      </w:pPr>
      <w:r>
        <w:rPr>
          <w:rFonts w:ascii="Calibri" w:hAnsi="Calibri"/>
          <w:b w:val="0"/>
          <w:i w:val="0"/>
          <w:color w:val="222222"/>
          <w:sz w:val="21"/>
        </w:rPr>
        <w:t>The UI visibly distinguishes user-entered, source-derived, AI-inferred, and reviewer-confirmed information.</w:t>
      </w:r>
    </w:p>
    <w:p>
      <w:pPr>
        <w:pStyle w:val="Heading1"/>
      </w:pPr>
      <w:r>
        <w:t>7. Backend implementation plan</w:t>
      </w:r>
    </w:p>
    <w:tbl>
      <w:tblPr>
        <w:tblW w:type="dxa" w:w="9360"/>
        <w:jc w:val="center"/>
        <w:tblLayout w:type="fixed"/>
        <w:tblLook w:firstColumn="1" w:firstRow="1" w:lastColumn="0" w:lastRow="0" w:noHBand="0" w:noVBand="1" w:val="04A0"/>
        <w:tblInd w:type="dxa" w:w="120"/>
      </w:tblPr>
      <w:tblGrid>
        <w:gridCol w:w="1450"/>
        <w:gridCol w:w="4610"/>
        <w:gridCol w:w="3300"/>
      </w:tblGrid>
      <w:tr>
        <w:trPr>
          <w:cantSplit/>
          <w:tblHeader w:val="true"/>
        </w:trPr>
        <w:tc>
          <w:tcPr>
            <w:tcW w:type="dxa" w:w="1450"/>
            <w:vAlign w:val="center"/>
            <w:tcMar>
              <w:top w:w="80" w:type="dxa"/>
              <w:bottom w:w="80" w:type="dxa"/>
              <w:start w:w="120" w:type="dxa"/>
              <w:end w:w="120" w:type="dxa"/>
            </w:tcMar>
            <w:shd w:fill="1F4D78"/>
          </w:tcPr>
          <w:p>
            <w:pPr>
              <w:spacing w:after="0" w:line="264" w:lineRule="auto"/>
              <w:jc w:val="left"/>
            </w:pPr>
            <w:r/>
            <w:r>
              <w:rPr>
                <w:rFonts w:ascii="Calibri" w:hAnsi="Calibri"/>
                <w:b/>
                <w:i w:val="0"/>
                <w:color w:val="FFFFFF"/>
                <w:sz w:val="18"/>
              </w:rPr>
              <w:t>Workstream</w:t>
            </w:r>
          </w:p>
        </w:tc>
        <w:tc>
          <w:tcPr>
            <w:tcW w:type="dxa" w:w="4610"/>
            <w:vAlign w:val="center"/>
            <w:tcMar>
              <w:top w:w="80" w:type="dxa"/>
              <w:bottom w:w="80" w:type="dxa"/>
              <w:start w:w="120" w:type="dxa"/>
              <w:end w:w="120" w:type="dxa"/>
            </w:tcMar>
            <w:shd w:fill="1F4D78"/>
          </w:tcPr>
          <w:p>
            <w:pPr>
              <w:spacing w:after="0" w:line="264" w:lineRule="auto"/>
              <w:jc w:val="left"/>
            </w:pPr>
            <w:r/>
            <w:r>
              <w:rPr>
                <w:rFonts w:ascii="Calibri" w:hAnsi="Calibri"/>
                <w:b/>
                <w:i w:val="0"/>
                <w:color w:val="FFFFFF"/>
                <w:sz w:val="18"/>
              </w:rPr>
              <w:t>Implementation</w:t>
            </w:r>
          </w:p>
        </w:tc>
        <w:tc>
          <w:tcPr>
            <w:tcW w:type="dxa" w:w="3300"/>
            <w:vAlign w:val="center"/>
            <w:tcMar>
              <w:top w:w="80" w:type="dxa"/>
              <w:bottom w:w="80" w:type="dxa"/>
              <w:start w:w="120" w:type="dxa"/>
              <w:end w:w="120" w:type="dxa"/>
            </w:tcMar>
            <w:shd w:fill="1F4D78"/>
          </w:tcPr>
          <w:p>
            <w:pPr>
              <w:spacing w:after="0" w:line="264" w:lineRule="auto"/>
              <w:jc w:val="left"/>
            </w:pPr>
            <w:r/>
            <w:r>
              <w:rPr>
                <w:rFonts w:ascii="Calibri" w:hAnsi="Calibri"/>
                <w:b/>
                <w:i w:val="0"/>
                <w:color w:val="FFFFFF"/>
                <w:sz w:val="18"/>
              </w:rPr>
              <w:t>Primary repository areas</w:t>
            </w:r>
          </w:p>
        </w:tc>
      </w:tr>
      <w:tr>
        <w:trPr>
          <w:cantSplit/>
        </w:trPr>
        <w:tc>
          <w:tcPr>
            <w:tcW w:type="dxa" w:w="145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Schema consolidation</w:t>
            </w:r>
          </w:p>
        </w:tc>
        <w:tc>
          <w:tcPr>
            <w:tcW w:type="dxa" w:w="461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Extend existing permit-review schemas; add provenance, review state, version fields</w:t>
            </w:r>
          </w:p>
        </w:tc>
        <w:tc>
          <w:tcPr>
            <w:tcW w:type="dxa" w:w="330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shared/schemas</w:t>
            </w:r>
          </w:p>
        </w:tc>
      </w:tr>
      <w:tr>
        <w:trPr>
          <w:cantSplit/>
        </w:trPr>
        <w:tc>
          <w:tcPr>
            <w:tcW w:type="dxa" w:w="145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Database migration</w:t>
            </w:r>
          </w:p>
        </w:tc>
        <w:tc>
          <w:tcPr>
            <w:tcW w:type="dxa" w:w="461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Add normalized tables while preserving PermitCase snapshots and audit logs</w:t>
            </w:r>
          </w:p>
        </w:tc>
        <w:tc>
          <w:tcPr>
            <w:tcW w:type="dxa" w:w="330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api/models.py, migrations</w:t>
            </w:r>
          </w:p>
        </w:tc>
      </w:tr>
      <w:tr>
        <w:trPr>
          <w:cantSplit/>
        </w:trPr>
        <w:tc>
          <w:tcPr>
            <w:tcW w:type="dxa" w:w="145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Pack loader</w:t>
            </w:r>
          </w:p>
        </w:tc>
        <w:tc>
          <w:tcPr>
            <w:tcW w:type="dxa" w:w="461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Typed loader, inheritance/overlay merge, version pinning, validation</w:t>
            </w:r>
          </w:p>
        </w:tc>
        <w:tc>
          <w:tcPr>
            <w:tcW w:type="dxa" w:w="330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shared/tools/knowledge.py, new shared/knowledge</w:t>
            </w:r>
          </w:p>
        </w:tc>
      </w:tr>
      <w:tr>
        <w:trPr>
          <w:cantSplit/>
        </w:trPr>
        <w:tc>
          <w:tcPr>
            <w:tcW w:type="dxa" w:w="145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Pipeline orchestration</w:t>
            </w:r>
          </w:p>
        </w:tc>
        <w:tc>
          <w:tcPr>
            <w:tcW w:type="dxa" w:w="461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Create staged job with persisted progress and idempotent reruns</w:t>
            </w:r>
          </w:p>
        </w:tc>
        <w:tc>
          <w:tcPr>
            <w:tcW w:type="dxa" w:w="330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api/services, shared/agent_logic</w:t>
            </w:r>
          </w:p>
        </w:tc>
      </w:tr>
      <w:tr>
        <w:trPr>
          <w:cantSplit/>
        </w:trPr>
        <w:tc>
          <w:tcPr>
            <w:tcW w:type="dxa" w:w="145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Permit engine</w:t>
            </w:r>
          </w:p>
        </w:tc>
        <w:tc>
          <w:tcPr>
            <w:tcW w:type="dxa" w:w="461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Applicability evaluator, dependencies, requirement instantiation</w:t>
            </w:r>
          </w:p>
        </w:tc>
        <w:tc>
          <w:tcPr>
            <w:tcW w:type="dxa" w:w="330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api/services/permit_review_service.py</w:t>
            </w:r>
          </w:p>
        </w:tc>
      </w:tr>
      <w:tr>
        <w:trPr>
          <w:cantSplit/>
        </w:trPr>
        <w:tc>
          <w:tcPr>
            <w:tcW w:type="dxa" w:w="145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Workflow service</w:t>
            </w:r>
          </w:p>
        </w:tc>
        <w:tc>
          <w:tcPr>
            <w:tcW w:type="dxa" w:w="461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Issues, comments, approvals, status transitions, inspections</w:t>
            </w:r>
          </w:p>
        </w:tc>
        <w:tc>
          <w:tcPr>
            <w:tcW w:type="dxa" w:w="330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new api/services modules</w:t>
            </w:r>
          </w:p>
        </w:tc>
      </w:tr>
      <w:tr>
        <w:trPr>
          <w:cantSplit/>
        </w:trPr>
        <w:tc>
          <w:tcPr>
            <w:tcW w:type="dxa" w:w="145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API resources</w:t>
            </w:r>
          </w:p>
        </w:tc>
        <w:tc>
          <w:tcPr>
            <w:tcW w:type="dxa" w:w="461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REST endpoints for facts, permits, requirements, issues, comments, events, inspections</w:t>
            </w:r>
          </w:p>
        </w:tc>
        <w:tc>
          <w:tcPr>
            <w:tcW w:type="dxa" w:w="3300"/>
            <w:vAlign w:val="center"/>
            <w:tcMar>
              <w:top w:w="80" w:type="dxa"/>
              <w:bottom w:w="80" w:type="dxa"/>
              <w:start w:w="120" w:type="dxa"/>
              <w:end w:w="120" w:type="dxa"/>
            </w:tcMar>
          </w:tcPr>
          <w:p>
            <w:pPr>
              <w:spacing w:after="0" w:line="264" w:lineRule="auto"/>
              <w:jc w:val="center"/>
            </w:pPr>
            <w:r/>
            <w:r>
              <w:rPr>
                <w:rFonts w:ascii="Calibri" w:hAnsi="Calibri"/>
                <w:b w:val="0"/>
                <w:i w:val="0"/>
                <w:color w:val="222222"/>
                <w:sz w:val="18"/>
              </w:rPr>
              <w:t>api/routes</w:t>
            </w:r>
          </w:p>
        </w:tc>
      </w:tr>
      <w:tr>
        <w:trPr>
          <w:cantSplit/>
        </w:trPr>
        <w:tc>
          <w:tcPr>
            <w:tcW w:type="dxa" w:w="145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Reporting</w:t>
            </w:r>
          </w:p>
        </w:tc>
        <w:tc>
          <w:tcPr>
            <w:tcW w:type="dxa" w:w="461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Generate readiness packet from reviewed operational records</w:t>
            </w:r>
          </w:p>
        </w:tc>
        <w:tc>
          <w:tcPr>
            <w:tcW w:type="dxa" w:w="330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report service and web export</w:t>
            </w:r>
          </w:p>
        </w:tc>
      </w:tr>
      <w:tr>
        <w:trPr>
          <w:cantSplit/>
        </w:trPr>
        <w:tc>
          <w:tcPr>
            <w:tcW w:type="dxa" w:w="145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Audit</w:t>
            </w:r>
          </w:p>
        </w:tc>
        <w:tc>
          <w:tcPr>
            <w:tcW w:type="dxa" w:w="461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Append-only domain events and analysis run metadata</w:t>
            </w:r>
          </w:p>
        </w:tc>
        <w:tc>
          <w:tcPr>
            <w:tcW w:type="dxa" w:w="330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existing audit service plus event helpers</w:t>
            </w:r>
          </w:p>
        </w:tc>
      </w:tr>
    </w:tbl>
    <w:p>
      <w:pPr>
        <w:spacing w:after="0"/>
      </w:pPr>
    </w:p>
    <w:p>
      <w:pPr>
        <w:pStyle w:val="Heading2"/>
      </w:pPr>
      <w:r>
        <w:t>Recommended API surface</w:t>
      </w:r>
    </w:p>
    <w:tbl>
      <w:tblPr>
        <w:tblW w:type="dxa" w:w="9360"/>
        <w:jc w:val="center"/>
        <w:tblLayout w:type="fixed"/>
        <w:tblLook w:firstColumn="1" w:firstRow="1" w:lastColumn="0" w:lastRow="0" w:noHBand="0" w:noVBand="1" w:val="04A0"/>
        <w:tblInd w:type="dxa" w:w="120"/>
      </w:tblPr>
      <w:tblGrid>
        <w:gridCol w:w="2900"/>
        <w:gridCol w:w="6460"/>
      </w:tblGrid>
      <w:tr>
        <w:trPr>
          <w:cantSplit/>
          <w:tblHeader w:val="true"/>
        </w:trPr>
        <w:tc>
          <w:tcPr>
            <w:tcW w:type="dxa" w:w="2900"/>
            <w:vAlign w:val="center"/>
            <w:tcMar>
              <w:top w:w="80" w:type="dxa"/>
              <w:bottom w:w="80" w:type="dxa"/>
              <w:start w:w="120" w:type="dxa"/>
              <w:end w:w="120" w:type="dxa"/>
            </w:tcMar>
            <w:shd w:fill="1F4D78"/>
          </w:tcPr>
          <w:p>
            <w:pPr>
              <w:spacing w:after="0" w:line="264" w:lineRule="auto"/>
              <w:jc w:val="left"/>
            </w:pPr>
            <w:r/>
            <w:r>
              <w:rPr>
                <w:rFonts w:ascii="Calibri" w:hAnsi="Calibri"/>
                <w:b/>
                <w:i w:val="0"/>
                <w:color w:val="FFFFFF"/>
                <w:sz w:val="18"/>
              </w:rPr>
              <w:t>Method and route</w:t>
            </w:r>
          </w:p>
        </w:tc>
        <w:tc>
          <w:tcPr>
            <w:tcW w:type="dxa" w:w="6460"/>
            <w:vAlign w:val="center"/>
            <w:tcMar>
              <w:top w:w="80" w:type="dxa"/>
              <w:bottom w:w="80" w:type="dxa"/>
              <w:start w:w="120" w:type="dxa"/>
              <w:end w:w="120" w:type="dxa"/>
            </w:tcMar>
            <w:shd w:fill="1F4D78"/>
          </w:tcPr>
          <w:p>
            <w:pPr>
              <w:spacing w:after="0" w:line="264" w:lineRule="auto"/>
              <w:jc w:val="left"/>
            </w:pPr>
            <w:r/>
            <w:r>
              <w:rPr>
                <w:rFonts w:ascii="Calibri" w:hAnsi="Calibri"/>
                <w:b/>
                <w:i w:val="0"/>
                <w:color w:val="FFFFFF"/>
                <w:sz w:val="18"/>
              </w:rPr>
              <w:t>Purpose</w:t>
            </w:r>
          </w:p>
        </w:tc>
      </w:tr>
      <w:tr>
        <w:trPr>
          <w:cantSplit/>
        </w:trPr>
        <w:tc>
          <w:tcPr>
            <w:tcW w:type="dxa" w:w="290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POST /projects</w:t>
            </w:r>
          </w:p>
        </w:tc>
        <w:tc>
          <w:tcPr>
            <w:tcW w:type="dxa" w:w="646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Create guided project</w:t>
            </w:r>
          </w:p>
        </w:tc>
      </w:tr>
      <w:tr>
        <w:trPr>
          <w:cantSplit/>
        </w:trPr>
        <w:tc>
          <w:tcPr>
            <w:tcW w:type="dxa" w:w="290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GET/PATCH /projects/{id}/facts</w:t>
            </w:r>
          </w:p>
        </w:tc>
        <w:tc>
          <w:tcPr>
            <w:tcW w:type="dxa" w:w="646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Review and correct normalized facts</w:t>
            </w:r>
          </w:p>
        </w:tc>
      </w:tr>
      <w:tr>
        <w:trPr>
          <w:cantSplit/>
        </w:trPr>
        <w:tc>
          <w:tcPr>
            <w:tcW w:type="dxa" w:w="290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POST /projects/{id}/documents</w:t>
            </w:r>
          </w:p>
        </w:tc>
        <w:tc>
          <w:tcPr>
            <w:tcW w:type="dxa" w:w="646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Upload a document version</w:t>
            </w:r>
          </w:p>
        </w:tc>
      </w:tr>
      <w:tr>
        <w:trPr>
          <w:cantSplit/>
        </w:trPr>
        <w:tc>
          <w:tcPr>
            <w:tcW w:type="dxa" w:w="290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POST /projects/{id}/analyses</w:t>
            </w:r>
          </w:p>
        </w:tc>
        <w:tc>
          <w:tcPr>
            <w:tcW w:type="dxa" w:w="646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Start idempotent staged analysis</w:t>
            </w:r>
          </w:p>
        </w:tc>
      </w:tr>
      <w:tr>
        <w:trPr>
          <w:cantSplit/>
        </w:trPr>
        <w:tc>
          <w:tcPr>
            <w:tcW w:type="dxa" w:w="290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GET /projects/{id}/analyses/{run}</w:t>
            </w:r>
          </w:p>
        </w:tc>
        <w:tc>
          <w:tcPr>
            <w:tcW w:type="dxa" w:w="646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Progress, stage errors, output snapshot</w:t>
            </w:r>
          </w:p>
        </w:tc>
      </w:tr>
      <w:tr>
        <w:trPr>
          <w:cantSplit/>
        </w:trPr>
        <w:tc>
          <w:tcPr>
            <w:tcW w:type="dxa" w:w="290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GET /projects/{id}/permits</w:t>
            </w:r>
          </w:p>
        </w:tc>
        <w:tc>
          <w:tcPr>
            <w:tcW w:type="dxa" w:w="646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Permit workspace data</w:t>
            </w:r>
          </w:p>
        </w:tc>
      </w:tr>
      <w:tr>
        <w:trPr>
          <w:cantSplit/>
        </w:trPr>
        <w:tc>
          <w:tcPr>
            <w:tcW w:type="dxa" w:w="290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PATCH /permits/{id}</w:t>
            </w:r>
          </w:p>
        </w:tc>
        <w:tc>
          <w:tcPr>
            <w:tcW w:type="dxa" w:w="646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Allowed lifecycle or reviewer changes</w:t>
            </w:r>
          </w:p>
        </w:tc>
      </w:tr>
      <w:tr>
        <w:trPr>
          <w:cantSplit/>
        </w:trPr>
        <w:tc>
          <w:tcPr>
            <w:tcW w:type="dxa" w:w="290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GET/PATCH /permits/{id}/requirements</w:t>
            </w:r>
          </w:p>
        </w:tc>
        <w:tc>
          <w:tcPr>
            <w:tcW w:type="dxa" w:w="646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Requirement review and applicability</w:t>
            </w:r>
          </w:p>
        </w:tc>
      </w:tr>
      <w:tr>
        <w:trPr>
          <w:cantSplit/>
        </w:trPr>
        <w:tc>
          <w:tcPr>
            <w:tcW w:type="dxa" w:w="290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POST/PATCH /projects/{id}/issues</w:t>
            </w:r>
          </w:p>
        </w:tc>
        <w:tc>
          <w:tcPr>
            <w:tcW w:type="dxa" w:w="646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Create, assign and resolve issues</w:t>
            </w:r>
          </w:p>
        </w:tc>
      </w:tr>
      <w:tr>
        <w:trPr>
          <w:cantSplit/>
        </w:trPr>
        <w:tc>
          <w:tcPr>
            <w:tcW w:type="dxa" w:w="290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POST/PATCH /objects/{type}/{id}/comments</w:t>
            </w:r>
          </w:p>
        </w:tc>
        <w:tc>
          <w:tcPr>
            <w:tcW w:type="dxa" w:w="646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Contextual feedback</w:t>
            </w:r>
          </w:p>
        </w:tc>
      </w:tr>
      <w:tr>
        <w:trPr>
          <w:cantSplit/>
        </w:trPr>
        <w:tc>
          <w:tcPr>
            <w:tcW w:type="dxa" w:w="290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POST /permits/{id}/events</w:t>
            </w:r>
          </w:p>
        </w:tc>
        <w:tc>
          <w:tcPr>
            <w:tcW w:type="dxa" w:w="646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Record external submission/review events</w:t>
            </w:r>
          </w:p>
        </w:tc>
      </w:tr>
      <w:tr>
        <w:trPr>
          <w:cantSplit/>
        </w:trPr>
        <w:tc>
          <w:tcPr>
            <w:tcW w:type="dxa" w:w="290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POST/PATCH /permits/{id}/inspections</w:t>
            </w:r>
          </w:p>
        </w:tc>
        <w:tc>
          <w:tcPr>
            <w:tcW w:type="dxa" w:w="646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Inspection workflow</w:t>
            </w:r>
          </w:p>
        </w:tc>
      </w:tr>
      <w:tr>
        <w:trPr>
          <w:cantSplit/>
        </w:trPr>
        <w:tc>
          <w:tcPr>
            <w:tcW w:type="dxa" w:w="290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POST /projects/{id}/review-decisions</w:t>
            </w:r>
          </w:p>
        </w:tc>
        <w:tc>
          <w:tcPr>
            <w:tcW w:type="dxa" w:w="646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Approve/request changes/escalate</w:t>
            </w:r>
          </w:p>
        </w:tc>
      </w:tr>
      <w:tr>
        <w:trPr>
          <w:cantSplit/>
        </w:trPr>
        <w:tc>
          <w:tcPr>
            <w:tcW w:type="dxa" w:w="290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GET /projects/{id}/reports/readiness</w:t>
            </w:r>
          </w:p>
        </w:tc>
        <w:tc>
          <w:tcPr>
            <w:tcW w:type="dxa" w:w="646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Generate reviewed report</w:t>
            </w:r>
          </w:p>
        </w:tc>
      </w:tr>
    </w:tbl>
    <w:p>
      <w:pPr>
        <w:spacing w:after="0"/>
      </w:pPr>
    </w:p>
    <w:p>
      <w:pPr>
        <w:pStyle w:val="Heading2"/>
      </w:pPr>
      <w:r>
        <w:t>API principles</w:t>
      </w:r>
    </w:p>
    <w:p>
      <w:pPr>
        <w:pStyle w:val="ListBullet"/>
      </w:pPr>
      <w:r>
        <w:rPr>
          <w:rFonts w:ascii="Calibri" w:hAnsi="Calibri"/>
          <w:b w:val="0"/>
          <w:i w:val="0"/>
          <w:color w:val="222222"/>
          <w:sz w:val="21"/>
        </w:rPr>
        <w:t>Every write checks organization, role, object state, and optimistic concurrency/version.</w:t>
      </w:r>
    </w:p>
    <w:p>
      <w:pPr>
        <w:pStyle w:val="ListBullet"/>
      </w:pPr>
      <w:r>
        <w:rPr>
          <w:rFonts w:ascii="Calibri" w:hAnsi="Calibri"/>
          <w:b w:val="0"/>
          <w:i w:val="0"/>
          <w:color w:val="222222"/>
          <w:sz w:val="21"/>
        </w:rPr>
        <w:t>Mutations return the updated resource and append an audit event.</w:t>
      </w:r>
    </w:p>
    <w:p>
      <w:pPr>
        <w:pStyle w:val="ListBullet"/>
      </w:pPr>
      <w:r>
        <w:rPr>
          <w:rFonts w:ascii="Calibri" w:hAnsi="Calibri"/>
          <w:b w:val="0"/>
          <w:i w:val="0"/>
          <w:color w:val="222222"/>
          <w:sz w:val="21"/>
        </w:rPr>
        <w:t>Analysis endpoints are idempotent by input hash and pack version where safe.</w:t>
      </w:r>
    </w:p>
    <w:p>
      <w:pPr>
        <w:pStyle w:val="ListBullet"/>
      </w:pPr>
      <w:r>
        <w:rPr>
          <w:rFonts w:ascii="Calibri" w:hAnsi="Calibri"/>
          <w:b w:val="0"/>
          <w:i w:val="0"/>
          <w:color w:val="222222"/>
          <w:sz w:val="21"/>
        </w:rPr>
        <w:t>External references such as CompassKC URLs are stored as user-recorded evidence, not represented as synchronized data.</w:t>
      </w:r>
    </w:p>
    <w:p>
      <w:pPr>
        <w:pStyle w:val="ListBullet"/>
      </w:pPr>
      <w:r>
        <w:rPr>
          <w:rFonts w:ascii="Calibri" w:hAnsi="Calibri"/>
          <w:b w:val="0"/>
          <w:i w:val="0"/>
          <w:color w:val="222222"/>
          <w:sz w:val="21"/>
        </w:rPr>
        <w:t>Errors expose a stable code, human message, correlation ID, and retryability flag.</w:t>
      </w:r>
    </w:p>
    <w:p>
      <w:pPr>
        <w:pStyle w:val="Heading1"/>
      </w:pPr>
      <w:r>
        <w:t>8. Frontend implementation plan</w:t>
      </w:r>
    </w:p>
    <w:p>
      <w:pPr>
        <w:spacing w:after="120" w:line="300" w:lineRule="auto"/>
      </w:pPr>
      <w:r>
        <w:rPr>
          <w:rFonts w:ascii="Calibri" w:hAnsi="Calibri"/>
          <w:b w:val="0"/>
          <w:i w:val="0"/>
          <w:color w:val="222222"/>
          <w:sz w:val="22"/>
        </w:rPr>
        <w:t>Keep the current AppShell and project workspace. Replace the analysis-centric mental model with a project command center while preserving analysis history as a supporting view.</w:t>
      </w:r>
    </w:p>
    <w:tbl>
      <w:tblPr>
        <w:tblW w:type="dxa" w:w="9360"/>
        <w:jc w:val="center"/>
        <w:tblLayout w:type="fixed"/>
        <w:tblLook w:firstColumn="1" w:firstRow="1" w:lastColumn="0" w:lastRow="0" w:noHBand="0" w:noVBand="1" w:val="04A0"/>
        <w:tblInd w:type="dxa" w:w="120"/>
      </w:tblPr>
      <w:tblGrid>
        <w:gridCol w:w="1350"/>
        <w:gridCol w:w="4190"/>
        <w:gridCol w:w="3820"/>
      </w:tblGrid>
      <w:tr>
        <w:trPr>
          <w:cantSplit/>
          <w:tblHeader w:val="true"/>
        </w:trPr>
        <w:tc>
          <w:tcPr>
            <w:tcW w:type="dxa" w:w="1350"/>
            <w:vAlign w:val="center"/>
            <w:tcMar>
              <w:top w:w="80" w:type="dxa"/>
              <w:bottom w:w="80" w:type="dxa"/>
              <w:start w:w="120" w:type="dxa"/>
              <w:end w:w="120" w:type="dxa"/>
            </w:tcMar>
            <w:shd w:fill="1F4D78"/>
          </w:tcPr>
          <w:p>
            <w:pPr>
              <w:spacing w:after="0" w:line="264" w:lineRule="auto"/>
              <w:jc w:val="left"/>
            </w:pPr>
            <w:r/>
            <w:r>
              <w:rPr>
                <w:rFonts w:ascii="Calibri" w:hAnsi="Calibri"/>
                <w:b/>
                <w:i w:val="0"/>
                <w:color w:val="FFFFFF"/>
                <w:sz w:val="18"/>
              </w:rPr>
              <w:t>Surface</w:t>
            </w:r>
          </w:p>
        </w:tc>
        <w:tc>
          <w:tcPr>
            <w:tcW w:type="dxa" w:w="4190"/>
            <w:vAlign w:val="center"/>
            <w:tcMar>
              <w:top w:w="80" w:type="dxa"/>
              <w:bottom w:w="80" w:type="dxa"/>
              <w:start w:w="120" w:type="dxa"/>
              <w:end w:w="120" w:type="dxa"/>
            </w:tcMar>
            <w:shd w:fill="1F4D78"/>
          </w:tcPr>
          <w:p>
            <w:pPr>
              <w:spacing w:after="0" w:line="264" w:lineRule="auto"/>
              <w:jc w:val="left"/>
            </w:pPr>
            <w:r/>
            <w:r>
              <w:rPr>
                <w:rFonts w:ascii="Calibri" w:hAnsi="Calibri"/>
                <w:b/>
                <w:i w:val="0"/>
                <w:color w:val="FFFFFF"/>
                <w:sz w:val="18"/>
              </w:rPr>
              <w:t>Required components</w:t>
            </w:r>
          </w:p>
        </w:tc>
        <w:tc>
          <w:tcPr>
            <w:tcW w:type="dxa" w:w="3820"/>
            <w:vAlign w:val="center"/>
            <w:tcMar>
              <w:top w:w="80" w:type="dxa"/>
              <w:bottom w:w="80" w:type="dxa"/>
              <w:start w:w="120" w:type="dxa"/>
              <w:end w:w="120" w:type="dxa"/>
            </w:tcMar>
            <w:shd w:fill="1F4D78"/>
          </w:tcPr>
          <w:p>
            <w:pPr>
              <w:spacing w:after="0" w:line="264" w:lineRule="auto"/>
              <w:jc w:val="left"/>
            </w:pPr>
            <w:r/>
            <w:r>
              <w:rPr>
                <w:rFonts w:ascii="Calibri" w:hAnsi="Calibri"/>
                <w:b/>
                <w:i w:val="0"/>
                <w:color w:val="FFFFFF"/>
                <w:sz w:val="18"/>
              </w:rPr>
              <w:t>Behavior</w:t>
            </w:r>
          </w:p>
        </w:tc>
      </w:tr>
      <w:tr>
        <w:trPr>
          <w:cantSplit/>
        </w:trPr>
        <w:tc>
          <w:tcPr>
            <w:tcW w:type="dxa" w:w="135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Portfolio</w:t>
            </w:r>
          </w:p>
        </w:tc>
        <w:tc>
          <w:tcPr>
            <w:tcW w:type="dxa" w:w="419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Metric cards, filters, attention queue, project table/cards</w:t>
            </w:r>
          </w:p>
        </w:tc>
        <w:tc>
          <w:tcPr>
            <w:tcW w:type="dxa" w:w="382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Prioritize next action and aging</w:t>
            </w:r>
          </w:p>
        </w:tc>
      </w:tr>
      <w:tr>
        <w:trPr>
          <w:cantSplit/>
        </w:trPr>
        <w:tc>
          <w:tcPr>
            <w:tcW w:type="dxa" w:w="135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New project</w:t>
            </w:r>
          </w:p>
        </w:tc>
        <w:tc>
          <w:tcPr>
            <w:tcW w:type="dxa" w:w="419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Trade-aware wizard, jurisdiction guardrails, contact/scope sections</w:t>
            </w:r>
          </w:p>
        </w:tc>
        <w:tc>
          <w:tcPr>
            <w:tcW w:type="dxa" w:w="382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Progressive disclosure from pack UI schema</w:t>
            </w:r>
          </w:p>
        </w:tc>
      </w:tr>
      <w:tr>
        <w:trPr>
          <w:cantSplit/>
        </w:trPr>
        <w:tc>
          <w:tcPr>
            <w:tcW w:type="dxa" w:w="135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Project header</w:t>
            </w:r>
          </w:p>
        </w:tc>
        <w:tc>
          <w:tcPr>
            <w:tcW w:type="dxa" w:w="419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Lifecycle, readiness, owner, due date, next action</w:t>
            </w:r>
          </w:p>
        </w:tc>
        <w:tc>
          <w:tcPr>
            <w:tcW w:type="dxa" w:w="382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Stable across tabs</w:t>
            </w:r>
          </w:p>
        </w:tc>
      </w:tr>
      <w:tr>
        <w:trPr>
          <w:cantSplit/>
        </w:trPr>
        <w:tc>
          <w:tcPr>
            <w:tcW w:type="dxa" w:w="135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Facts</w:t>
            </w:r>
          </w:p>
        </w:tc>
        <w:tc>
          <w:tcPr>
            <w:tcW w:type="dxa" w:w="419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Source-linked fact rows, confidence, edit/review control</w:t>
            </w:r>
          </w:p>
        </w:tc>
        <w:tc>
          <w:tcPr>
            <w:tcW w:type="dxa" w:w="382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Reviewer-confirmed state visible</w:t>
            </w:r>
          </w:p>
        </w:tc>
      </w:tr>
      <w:tr>
        <w:trPr>
          <w:cantSplit/>
        </w:trPr>
        <w:tc>
          <w:tcPr>
            <w:tcW w:type="dxa" w:w="135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Permits</w:t>
            </w:r>
          </w:p>
        </w:tc>
        <w:tc>
          <w:tcPr>
            <w:tcW w:type="dxa" w:w="419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Permit grid, status badges, checklist completion, dependency indicators</w:t>
            </w:r>
          </w:p>
        </w:tc>
        <w:tc>
          <w:tcPr>
            <w:tcW w:type="dxa" w:w="382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Cards open detail drawer/page</w:t>
            </w:r>
          </w:p>
        </w:tc>
      </w:tr>
      <w:tr>
        <w:trPr>
          <w:cantSplit/>
        </w:trPr>
        <w:tc>
          <w:tcPr>
            <w:tcW w:type="dxa" w:w="135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Permit detail</w:t>
            </w:r>
          </w:p>
        </w:tc>
        <w:tc>
          <w:tcPr>
            <w:tcW w:type="dxa" w:w="419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Why applicable, requirements, documents, findings, tasks, evidence, history</w:t>
            </w:r>
          </w:p>
        </w:tc>
        <w:tc>
          <w:tcPr>
            <w:tcW w:type="dxa" w:w="382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Single operational workspace</w:t>
            </w:r>
          </w:p>
        </w:tc>
      </w:tr>
      <w:tr>
        <w:trPr>
          <w:cantSplit/>
        </w:trPr>
        <w:tc>
          <w:tcPr>
            <w:tcW w:type="dxa" w:w="135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Documents</w:t>
            </w:r>
          </w:p>
        </w:tc>
        <w:tc>
          <w:tcPr>
            <w:tcW w:type="dxa" w:w="419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Versions, types, extraction state, matches, preview/download</w:t>
            </w:r>
          </w:p>
        </w:tc>
        <w:tc>
          <w:tcPr>
            <w:tcW w:type="dxa" w:w="382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No filename-only management</w:t>
            </w:r>
          </w:p>
        </w:tc>
      </w:tr>
      <w:tr>
        <w:trPr>
          <w:cantSplit/>
        </w:trPr>
        <w:tc>
          <w:tcPr>
            <w:tcW w:type="dxa" w:w="135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Issues/comments</w:t>
            </w:r>
          </w:p>
        </w:tc>
        <w:tc>
          <w:tcPr>
            <w:tcW w:type="dxa" w:w="419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Contextual thread, assignee, due date, resolution</w:t>
            </w:r>
          </w:p>
        </w:tc>
        <w:tc>
          <w:tcPr>
            <w:tcW w:type="dxa" w:w="382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Usable for professor and pilot feedback</w:t>
            </w:r>
          </w:p>
        </w:tc>
      </w:tr>
      <w:tr>
        <w:trPr>
          <w:cantSplit/>
        </w:trPr>
        <w:tc>
          <w:tcPr>
            <w:tcW w:type="dxa" w:w="135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Timeline</w:t>
            </w:r>
          </w:p>
        </w:tc>
        <w:tc>
          <w:tcPr>
            <w:tcW w:type="dxa" w:w="419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Analysis, review, submission, correction, inspection and closeout events</w:t>
            </w:r>
          </w:p>
        </w:tc>
        <w:tc>
          <w:tcPr>
            <w:tcW w:type="dxa" w:w="382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Chronological and filterable</w:t>
            </w:r>
          </w:p>
        </w:tc>
      </w:tr>
      <w:tr>
        <w:trPr>
          <w:cantSplit/>
        </w:trPr>
        <w:tc>
          <w:tcPr>
            <w:tcW w:type="dxa" w:w="135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Reports</w:t>
            </w:r>
          </w:p>
        </w:tc>
        <w:tc>
          <w:tcPr>
            <w:tcW w:type="dxa" w:w="419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Preview, reviewer state, source appendix, export</w:t>
            </w:r>
          </w:p>
        </w:tc>
        <w:tc>
          <w:tcPr>
            <w:tcW w:type="dxa" w:w="382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No report from unreviewed state without warning</w:t>
            </w:r>
          </w:p>
        </w:tc>
      </w:tr>
    </w:tbl>
    <w:p>
      <w:pPr>
        <w:spacing w:after="0"/>
      </w:pPr>
    </w:p>
    <w:p>
      <w:pPr>
        <w:pStyle w:val="Heading2"/>
      </w:pPr>
      <w:r>
        <w:t>Frontend state approach</w:t>
      </w:r>
    </w:p>
    <w:p>
      <w:pPr>
        <w:pStyle w:val="ListBullet"/>
      </w:pPr>
      <w:r>
        <w:rPr>
          <w:rFonts w:ascii="Calibri" w:hAnsi="Calibri"/>
          <w:b w:val="0"/>
          <w:i w:val="0"/>
          <w:color w:val="222222"/>
          <w:sz w:val="21"/>
        </w:rPr>
        <w:t>Continue Zustand for client UI state, but use a server-state library or disciplined query layer for API caching and invalidation.</w:t>
      </w:r>
    </w:p>
    <w:p>
      <w:pPr>
        <w:pStyle w:val="ListBullet"/>
      </w:pPr>
      <w:r>
        <w:rPr>
          <w:rFonts w:ascii="Calibri" w:hAnsi="Calibri"/>
          <w:b w:val="0"/>
          <w:i w:val="0"/>
          <w:color w:val="222222"/>
          <w:sz w:val="21"/>
        </w:rPr>
        <w:t>Use generated TypeScript types from OpenAPI or a shared schema pipeline to eliminate drift from Pydantic contracts.</w:t>
      </w:r>
    </w:p>
    <w:p>
      <w:pPr>
        <w:pStyle w:val="ListBullet"/>
      </w:pPr>
      <w:r>
        <w:rPr>
          <w:rFonts w:ascii="Calibri" w:hAnsi="Calibri"/>
          <w:b w:val="0"/>
          <w:i w:val="0"/>
          <w:color w:val="222222"/>
          <w:sz w:val="21"/>
        </w:rPr>
        <w:t>Use route-level error boundaries and explicit loading, empty, partial, stale, and failed states.</w:t>
      </w:r>
    </w:p>
    <w:p>
      <w:pPr>
        <w:pStyle w:val="ListBullet"/>
      </w:pPr>
      <w:r>
        <w:rPr>
          <w:rFonts w:ascii="Calibri" w:hAnsi="Calibri"/>
          <w:b w:val="0"/>
          <w:i w:val="0"/>
          <w:color w:val="222222"/>
          <w:sz w:val="21"/>
        </w:rPr>
        <w:t>Store filters in the URL where sharing or browser navigation matters.</w:t>
      </w:r>
    </w:p>
    <w:p>
      <w:pPr>
        <w:pStyle w:val="ListBullet"/>
      </w:pPr>
      <w:r>
        <w:rPr>
          <w:rFonts w:ascii="Calibri" w:hAnsi="Calibri"/>
          <w:b w:val="0"/>
          <w:i w:val="0"/>
          <w:color w:val="222222"/>
          <w:sz w:val="21"/>
        </w:rPr>
        <w:t>Make feedback/comments keyboard accessible and tied to stable object IDs.</w:t>
      </w:r>
    </w:p>
    <w:p>
      <w:pPr>
        <w:pStyle w:val="ListBullet"/>
      </w:pPr>
      <w:r>
        <w:rPr>
          <w:rFonts w:ascii="Calibri" w:hAnsi="Calibri"/>
          <w:b w:val="0"/>
          <w:i w:val="0"/>
          <w:color w:val="222222"/>
          <w:sz w:val="21"/>
        </w:rPr>
        <w:t>Design responsive layouts for office laptop/tablet use; mobile can support status/comments but not full document review in MVP.</w:t>
      </w:r>
    </w:p>
    <w:p>
      <w:pPr>
        <w:pStyle w:val="Heading1"/>
      </w:pPr>
      <w:r>
        <w:t>9. Authentication, security, and data handling</w:t>
      </w:r>
    </w:p>
    <w:tbl>
      <w:tblPr>
        <w:tblW w:type="dxa" w:w="9360"/>
        <w:jc w:val="center"/>
        <w:tblLayout w:type="fixed"/>
        <w:tblLook w:firstColumn="1" w:firstRow="1" w:lastColumn="0" w:lastRow="0" w:noHBand="0" w:noVBand="1" w:val="04A0"/>
        <w:tblInd w:type="dxa" w:w="120"/>
      </w:tblPr>
      <w:tblGrid>
        <w:gridCol w:w="2100"/>
        <w:gridCol w:w="7260"/>
      </w:tblGrid>
      <w:tr>
        <w:trPr>
          <w:cantSplit/>
          <w:tblHeader w:val="true"/>
        </w:trPr>
        <w:tc>
          <w:tcPr>
            <w:tcW w:type="dxa" w:w="2100"/>
            <w:vAlign w:val="center"/>
            <w:tcMar>
              <w:top w:w="80" w:type="dxa"/>
              <w:bottom w:w="80" w:type="dxa"/>
              <w:start w:w="120" w:type="dxa"/>
              <w:end w:w="120" w:type="dxa"/>
            </w:tcMar>
            <w:shd w:fill="1F4D78"/>
          </w:tcPr>
          <w:p>
            <w:pPr>
              <w:spacing w:after="0" w:line="264" w:lineRule="auto"/>
              <w:jc w:val="left"/>
            </w:pPr>
            <w:r/>
            <w:r>
              <w:rPr>
                <w:rFonts w:ascii="Calibri" w:hAnsi="Calibri"/>
                <w:b/>
                <w:i w:val="0"/>
                <w:color w:val="FFFFFF"/>
                <w:sz w:val="18"/>
              </w:rPr>
              <w:t>Control</w:t>
            </w:r>
          </w:p>
        </w:tc>
        <w:tc>
          <w:tcPr>
            <w:tcW w:type="dxa" w:w="7260"/>
            <w:vAlign w:val="center"/>
            <w:tcMar>
              <w:top w:w="80" w:type="dxa"/>
              <w:bottom w:w="80" w:type="dxa"/>
              <w:start w:w="120" w:type="dxa"/>
              <w:end w:w="120" w:type="dxa"/>
            </w:tcMar>
            <w:shd w:fill="1F4D78"/>
          </w:tcPr>
          <w:p>
            <w:pPr>
              <w:spacing w:after="0" w:line="264" w:lineRule="auto"/>
              <w:jc w:val="left"/>
            </w:pPr>
            <w:r/>
            <w:r>
              <w:rPr>
                <w:rFonts w:ascii="Calibri" w:hAnsi="Calibri"/>
                <w:b/>
                <w:i w:val="0"/>
                <w:color w:val="FFFFFF"/>
                <w:sz w:val="18"/>
              </w:rPr>
              <w:t>MVP implementation</w:t>
            </w:r>
          </w:p>
        </w:tc>
      </w:tr>
      <w:tr>
        <w:trPr>
          <w:cantSplit/>
        </w:trPr>
        <w:tc>
          <w:tcPr>
            <w:tcW w:type="dxa" w:w="210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Authentication</w:t>
            </w:r>
          </w:p>
        </w:tc>
        <w:tc>
          <w:tcPr>
            <w:tcW w:type="dxa" w:w="726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Managed identity provider or proven library; email verification; reset; session expiry</w:t>
            </w:r>
          </w:p>
        </w:tc>
      </w:tr>
      <w:tr>
        <w:trPr>
          <w:cantSplit/>
        </w:trPr>
        <w:tc>
          <w:tcPr>
            <w:tcW w:type="dxa" w:w="210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Authorization</w:t>
            </w:r>
          </w:p>
        </w:tc>
        <w:tc>
          <w:tcPr>
            <w:tcW w:type="dxa" w:w="726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Organization-scoped RBAC: admin, manager, reviewer, contributor, viewer</w:t>
            </w:r>
          </w:p>
        </w:tc>
      </w:tr>
      <w:tr>
        <w:trPr>
          <w:cantSplit/>
        </w:trPr>
        <w:tc>
          <w:tcPr>
            <w:tcW w:type="dxa" w:w="210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Tenant isolation</w:t>
            </w:r>
          </w:p>
        </w:tc>
        <w:tc>
          <w:tcPr>
            <w:tcW w:type="dxa" w:w="726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organization_id in every customer-domain table plus enforced query scope</w:t>
            </w:r>
          </w:p>
        </w:tc>
      </w:tr>
      <w:tr>
        <w:trPr>
          <w:cantSplit/>
        </w:trPr>
        <w:tc>
          <w:tcPr>
            <w:tcW w:type="dxa" w:w="210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File storage</w:t>
            </w:r>
          </w:p>
        </w:tc>
        <w:tc>
          <w:tcPr>
            <w:tcW w:type="dxa" w:w="726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Private object storage; signed URLs; MIME/size validation; checksum; malware scanning path</w:t>
            </w:r>
          </w:p>
        </w:tc>
      </w:tr>
      <w:tr>
        <w:trPr>
          <w:cantSplit/>
        </w:trPr>
        <w:tc>
          <w:tcPr>
            <w:tcW w:type="dxa" w:w="210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Secrets</w:t>
            </w:r>
          </w:p>
        </w:tc>
        <w:tc>
          <w:tcPr>
            <w:tcW w:type="dxa" w:w="726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Environment/secret manager; never browser or repository</w:t>
            </w:r>
          </w:p>
        </w:tc>
      </w:tr>
      <w:tr>
        <w:trPr>
          <w:cantSplit/>
        </w:trPr>
        <w:tc>
          <w:tcPr>
            <w:tcW w:type="dxa" w:w="210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Encryption</w:t>
            </w:r>
          </w:p>
        </w:tc>
        <w:tc>
          <w:tcPr>
            <w:tcW w:type="dxa" w:w="726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TLS in transit; managed encryption at rest</w:t>
            </w:r>
          </w:p>
        </w:tc>
      </w:tr>
      <w:tr>
        <w:trPr>
          <w:cantSplit/>
        </w:trPr>
        <w:tc>
          <w:tcPr>
            <w:tcW w:type="dxa" w:w="210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Audit</w:t>
            </w:r>
          </w:p>
        </w:tc>
        <w:tc>
          <w:tcPr>
            <w:tcW w:type="dxa" w:w="726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Append-only events for access-sensitive and decision actions</w:t>
            </w:r>
          </w:p>
        </w:tc>
      </w:tr>
      <w:tr>
        <w:trPr>
          <w:cantSplit/>
        </w:trPr>
        <w:tc>
          <w:tcPr>
            <w:tcW w:type="dxa" w:w="210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Retention/deletion</w:t>
            </w:r>
          </w:p>
        </w:tc>
        <w:tc>
          <w:tcPr>
            <w:tcW w:type="dxa" w:w="726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Organization policy; project export and deletion workflow</w:t>
            </w:r>
          </w:p>
        </w:tc>
      </w:tr>
      <w:tr>
        <w:trPr>
          <w:cantSplit/>
        </w:trPr>
        <w:tc>
          <w:tcPr>
            <w:tcW w:type="dxa" w:w="210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AI data</w:t>
            </w:r>
          </w:p>
        </w:tc>
        <w:tc>
          <w:tcPr>
            <w:tcW w:type="dxa" w:w="726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No training by default; provider terms documented; redact unnecessary identifiers</w:t>
            </w:r>
          </w:p>
        </w:tc>
      </w:tr>
      <w:tr>
        <w:trPr>
          <w:cantSplit/>
        </w:trPr>
        <w:tc>
          <w:tcPr>
            <w:tcW w:type="dxa" w:w="210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Backups</w:t>
            </w:r>
          </w:p>
        </w:tc>
        <w:tc>
          <w:tcPr>
            <w:tcW w:type="dxa" w:w="726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Automated database/object backup plus restore test</w:t>
            </w:r>
          </w:p>
        </w:tc>
      </w:tr>
      <w:tr>
        <w:trPr>
          <w:cantSplit/>
        </w:trPr>
        <w:tc>
          <w:tcPr>
            <w:tcW w:type="dxa" w:w="210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Legal boundary</w:t>
            </w:r>
          </w:p>
        </w:tc>
        <w:tc>
          <w:tcPr>
            <w:tcW w:type="dxa" w:w="726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Visible product disclaimer and review responsibility; no approval guarantee</w:t>
            </w:r>
          </w:p>
        </w:tc>
      </w:tr>
    </w:tbl>
    <w:p>
      <w:pPr>
        <w:spacing w:after="0"/>
      </w:pPr>
    </w:p>
    <w:p>
      <w:pPr>
        <w:pStyle w:val="Heading1"/>
      </w:pPr>
      <w:r>
        <w:t>10. Testing and quality strategy</w:t>
      </w:r>
    </w:p>
    <w:tbl>
      <w:tblPr>
        <w:tblW w:type="dxa" w:w="9360"/>
        <w:jc w:val="center"/>
        <w:tblLayout w:type="fixed"/>
        <w:tblLook w:firstColumn="1" w:firstRow="1" w:lastColumn="0" w:lastRow="0" w:noHBand="0" w:noVBand="1" w:val="04A0"/>
        <w:tblInd w:type="dxa" w:w="120"/>
      </w:tblPr>
      <w:tblGrid>
        <w:gridCol w:w="2300"/>
        <w:gridCol w:w="7060"/>
      </w:tblGrid>
      <w:tr>
        <w:trPr>
          <w:cantSplit/>
          <w:tblHeader w:val="true"/>
        </w:trPr>
        <w:tc>
          <w:tcPr>
            <w:tcW w:type="dxa" w:w="2300"/>
            <w:vAlign w:val="center"/>
            <w:tcMar>
              <w:top w:w="80" w:type="dxa"/>
              <w:bottom w:w="80" w:type="dxa"/>
              <w:start w:w="120" w:type="dxa"/>
              <w:end w:w="120" w:type="dxa"/>
            </w:tcMar>
            <w:shd w:fill="1F4D78"/>
          </w:tcPr>
          <w:p>
            <w:pPr>
              <w:spacing w:after="0" w:line="264" w:lineRule="auto"/>
              <w:jc w:val="left"/>
            </w:pPr>
            <w:r/>
            <w:r>
              <w:rPr>
                <w:rFonts w:ascii="Calibri" w:hAnsi="Calibri"/>
                <w:b/>
                <w:i w:val="0"/>
                <w:color w:val="FFFFFF"/>
                <w:sz w:val="18"/>
              </w:rPr>
              <w:t>Test layer</w:t>
            </w:r>
          </w:p>
        </w:tc>
        <w:tc>
          <w:tcPr>
            <w:tcW w:type="dxa" w:w="7060"/>
            <w:vAlign w:val="center"/>
            <w:tcMar>
              <w:top w:w="80" w:type="dxa"/>
              <w:bottom w:w="80" w:type="dxa"/>
              <w:start w:w="120" w:type="dxa"/>
              <w:end w:w="120" w:type="dxa"/>
            </w:tcMar>
            <w:shd w:fill="1F4D78"/>
          </w:tcPr>
          <w:p>
            <w:pPr>
              <w:spacing w:after="0" w:line="264" w:lineRule="auto"/>
              <w:jc w:val="left"/>
            </w:pPr>
            <w:r/>
            <w:r>
              <w:rPr>
                <w:rFonts w:ascii="Calibri" w:hAnsi="Calibri"/>
                <w:b/>
                <w:i w:val="0"/>
                <w:color w:val="FFFFFF"/>
                <w:sz w:val="18"/>
              </w:rPr>
              <w:t>Coverage</w:t>
            </w:r>
          </w:p>
        </w:tc>
      </w:tr>
      <w:tr>
        <w:trPr>
          <w:cantSplit/>
        </w:trPr>
        <w:tc>
          <w:tcPr>
            <w:tcW w:type="dxa" w:w="230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Schema/pack tests</w:t>
            </w:r>
          </w:p>
        </w:tc>
        <w:tc>
          <w:tcPr>
            <w:tcW w:type="dxa" w:w="706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Validation, source references, pack merge, version pinning</w:t>
            </w:r>
          </w:p>
        </w:tc>
      </w:tr>
      <w:tr>
        <w:trPr>
          <w:cantSplit/>
        </w:trPr>
        <w:tc>
          <w:tcPr>
            <w:tcW w:type="dxa" w:w="230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Rule unit tests</w:t>
            </w:r>
          </w:p>
        </w:tc>
        <w:tc>
          <w:tcPr>
            <w:tcW w:type="dxa" w:w="706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Applicability, requirements, dependencies, readiness boundaries</w:t>
            </w:r>
          </w:p>
        </w:tc>
      </w:tr>
      <w:tr>
        <w:trPr>
          <w:cantSplit/>
        </w:trPr>
        <w:tc>
          <w:tcPr>
            <w:tcW w:type="dxa" w:w="230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Pipeline tests</w:t>
            </w:r>
          </w:p>
        </w:tc>
        <w:tc>
          <w:tcPr>
            <w:tcW w:type="dxa" w:w="706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Stage inputs/outputs, idempotency, partial failure, retry</w:t>
            </w:r>
          </w:p>
        </w:tc>
      </w:tr>
      <w:tr>
        <w:trPr>
          <w:cantSplit/>
        </w:trPr>
        <w:tc>
          <w:tcPr>
            <w:tcW w:type="dxa" w:w="230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API tests</w:t>
            </w:r>
          </w:p>
        </w:tc>
        <w:tc>
          <w:tcPr>
            <w:tcW w:type="dxa" w:w="706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Permissions, state transitions, validation, concurrency, audit events</w:t>
            </w:r>
          </w:p>
        </w:tc>
      </w:tr>
      <w:tr>
        <w:trPr>
          <w:cantSplit/>
        </w:trPr>
        <w:tc>
          <w:tcPr>
            <w:tcW w:type="dxa" w:w="230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Frontend component tests</w:t>
            </w:r>
          </w:p>
        </w:tc>
        <w:tc>
          <w:tcPr>
            <w:tcW w:type="dxa" w:w="706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Permit cards, fact review, requirement statuses, error/empty states</w:t>
            </w:r>
          </w:p>
        </w:tc>
      </w:tr>
      <w:tr>
        <w:trPr>
          <w:cantSplit/>
        </w:trPr>
        <w:tc>
          <w:tcPr>
            <w:tcW w:type="dxa" w:w="230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End-to-end tests</w:t>
            </w:r>
          </w:p>
        </w:tc>
        <w:tc>
          <w:tcPr>
            <w:tcW w:type="dxa" w:w="706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Create project through reviewed export; correction and inspection paths</w:t>
            </w:r>
          </w:p>
        </w:tc>
      </w:tr>
      <w:tr>
        <w:trPr>
          <w:cantSplit/>
        </w:trPr>
        <w:tc>
          <w:tcPr>
            <w:tcW w:type="dxa" w:w="230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AI evaluation</w:t>
            </w:r>
          </w:p>
        </w:tc>
        <w:tc>
          <w:tcPr>
            <w:tcW w:type="dxa" w:w="706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Extraction accuracy, invalid output, low-confidence behavior, regression fixtures</w:t>
            </w:r>
          </w:p>
        </w:tc>
      </w:tr>
      <w:tr>
        <w:trPr>
          <w:cantSplit/>
        </w:trPr>
        <w:tc>
          <w:tcPr>
            <w:tcW w:type="dxa" w:w="230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Historical replay</w:t>
            </w:r>
          </w:p>
        </w:tc>
        <w:tc>
          <w:tcPr>
            <w:tcW w:type="dxa" w:w="706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Known KCMO examples compared with expected permit paths and documents</w:t>
            </w:r>
          </w:p>
        </w:tc>
      </w:tr>
      <w:tr>
        <w:trPr>
          <w:cantSplit/>
        </w:trPr>
        <w:tc>
          <w:tcPr>
            <w:tcW w:type="dxa" w:w="230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Security tests</w:t>
            </w:r>
          </w:p>
        </w:tc>
        <w:tc>
          <w:tcPr>
            <w:tcW w:type="dxa" w:w="706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Tenant separation, authorization matrix, upload validation, signed URL expiry</w:t>
            </w:r>
          </w:p>
        </w:tc>
      </w:tr>
      <w:tr>
        <w:trPr>
          <w:cantSplit/>
        </w:trPr>
        <w:tc>
          <w:tcPr>
            <w:tcW w:type="dxa" w:w="230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Accessibility</w:t>
            </w:r>
          </w:p>
        </w:tc>
        <w:tc>
          <w:tcPr>
            <w:tcW w:type="dxa" w:w="706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Keyboard flow, focus, labels, contrast, error association, screen-reader semantics</w:t>
            </w:r>
          </w:p>
        </w:tc>
      </w:tr>
      <w:tr>
        <w:trPr>
          <w:cantSplit/>
        </w:trPr>
        <w:tc>
          <w:tcPr>
            <w:tcW w:type="dxa" w:w="230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Performance</w:t>
            </w:r>
          </w:p>
        </w:tc>
        <w:tc>
          <w:tcPr>
            <w:tcW w:type="dxa" w:w="706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Upload size, pipeline duration, polling/events, portfolio load</w:t>
            </w:r>
          </w:p>
        </w:tc>
      </w:tr>
      <w:tr>
        <w:trPr>
          <w:cantSplit/>
        </w:trPr>
        <w:tc>
          <w:tcPr>
            <w:tcW w:type="dxa" w:w="230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Operational acceptance</w:t>
            </w:r>
          </w:p>
        </w:tc>
        <w:tc>
          <w:tcPr>
            <w:tcW w:type="dxa" w:w="706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Backup restore, job retry, error alert, migration rollback rehearsal</w:t>
            </w:r>
          </w:p>
        </w:tc>
      </w:tr>
    </w:tbl>
    <w:p>
      <w:pPr>
        <w:spacing w:after="0"/>
      </w:pPr>
    </w:p>
    <w:p>
      <w:pPr>
        <w:pStyle w:val="Heading2"/>
      </w:pPr>
      <w:r>
        <w:t>Release gates</w:t>
      </w:r>
    </w:p>
    <w:p>
      <w:pPr>
        <w:pStyle w:val="ListBullet"/>
      </w:pPr>
      <w:r>
        <w:rPr>
          <w:rFonts w:ascii="Calibri" w:hAnsi="Calibri"/>
          <w:b w:val="0"/>
          <w:i w:val="0"/>
          <w:color w:val="222222"/>
          <w:sz w:val="21"/>
        </w:rPr>
        <w:t>Clean reproducible backend and frontend build from documented setup.</w:t>
      </w:r>
    </w:p>
    <w:p>
      <w:pPr>
        <w:pStyle w:val="ListBullet"/>
      </w:pPr>
      <w:r>
        <w:rPr>
          <w:rFonts w:ascii="Calibri" w:hAnsi="Calibri"/>
          <w:b w:val="0"/>
          <w:i w:val="0"/>
          <w:color w:val="222222"/>
          <w:sz w:val="21"/>
        </w:rPr>
        <w:t>Automated tests runnable in CI without local secrets.</w:t>
      </w:r>
    </w:p>
    <w:p>
      <w:pPr>
        <w:pStyle w:val="ListBullet"/>
      </w:pPr>
      <w:r>
        <w:rPr>
          <w:rFonts w:ascii="Calibri" w:hAnsi="Calibri"/>
          <w:b w:val="0"/>
          <w:i w:val="0"/>
          <w:color w:val="222222"/>
          <w:sz w:val="21"/>
        </w:rPr>
        <w:t>Zero known tenant-isolation or authorization defects.</w:t>
      </w:r>
    </w:p>
    <w:p>
      <w:pPr>
        <w:pStyle w:val="ListBullet"/>
      </w:pPr>
      <w:r>
        <w:rPr>
          <w:rFonts w:ascii="Calibri" w:hAnsi="Calibri"/>
          <w:b w:val="0"/>
          <w:i w:val="0"/>
          <w:color w:val="222222"/>
          <w:sz w:val="21"/>
        </w:rPr>
        <w:t>All active KCMO mechanical rules have sources and fixtures.</w:t>
      </w:r>
    </w:p>
    <w:p>
      <w:pPr>
        <w:pStyle w:val="ListBullet"/>
      </w:pPr>
      <w:r>
        <w:rPr>
          <w:rFonts w:ascii="Calibri" w:hAnsi="Calibri"/>
          <w:b w:val="0"/>
          <w:i w:val="0"/>
          <w:color w:val="222222"/>
          <w:sz w:val="21"/>
        </w:rPr>
        <w:t>Two demo projects complete end to end without manual database edits.</w:t>
      </w:r>
    </w:p>
    <w:p>
      <w:pPr>
        <w:pStyle w:val="ListBullet"/>
      </w:pPr>
      <w:r>
        <w:rPr>
          <w:rFonts w:ascii="Calibri" w:hAnsi="Calibri"/>
          <w:b w:val="0"/>
          <w:i w:val="0"/>
          <w:color w:val="222222"/>
          <w:sz w:val="21"/>
        </w:rPr>
        <w:t>No silent pipeline failures; partial failures show a recoverable action.</w:t>
      </w:r>
    </w:p>
    <w:p>
      <w:pPr>
        <w:pStyle w:val="ListBullet"/>
      </w:pPr>
      <w:r>
        <w:rPr>
          <w:rFonts w:ascii="Calibri" w:hAnsi="Calibri"/>
          <w:b w:val="0"/>
          <w:i w:val="0"/>
          <w:color w:val="222222"/>
          <w:sz w:val="21"/>
        </w:rPr>
        <w:t>Reviewer can correct facts, comment, resolve issues, and export a reviewed report.</w:t>
      </w:r>
    </w:p>
    <w:p>
      <w:pPr>
        <w:pStyle w:val="ListBullet"/>
      </w:pPr>
      <w:r>
        <w:rPr>
          <w:rFonts w:ascii="Calibri" w:hAnsi="Calibri"/>
          <w:b w:val="0"/>
          <w:i w:val="0"/>
          <w:color w:val="222222"/>
          <w:sz w:val="21"/>
        </w:rPr>
        <w:t>Disclaimers and expert-escalation states are visible in product and export.</w:t>
      </w:r>
    </w:p>
    <w:p>
      <w:pPr>
        <w:pStyle w:val="Heading1"/>
      </w:pPr>
      <w:r>
        <w:t>11. Deployment and observability</w:t>
      </w:r>
    </w:p>
    <w:tbl>
      <w:tblPr>
        <w:tblW w:type="dxa" w:w="9360"/>
        <w:jc w:val="center"/>
        <w:tblLayout w:type="fixed"/>
        <w:tblLook w:firstColumn="1" w:firstRow="1" w:lastColumn="0" w:lastRow="0" w:noHBand="0" w:noVBand="1" w:val="04A0"/>
        <w:tblInd w:type="dxa" w:w="120"/>
      </w:tblPr>
      <w:tblGrid>
        <w:gridCol w:w="2000"/>
        <w:gridCol w:w="7360"/>
      </w:tblGrid>
      <w:tr>
        <w:trPr>
          <w:cantSplit/>
          <w:tblHeader w:val="true"/>
        </w:trPr>
        <w:tc>
          <w:tcPr>
            <w:tcW w:type="dxa" w:w="2000"/>
            <w:vAlign w:val="center"/>
            <w:tcMar>
              <w:top w:w="80" w:type="dxa"/>
              <w:bottom w:w="80" w:type="dxa"/>
              <w:start w:w="120" w:type="dxa"/>
              <w:end w:w="120" w:type="dxa"/>
            </w:tcMar>
            <w:shd w:fill="1F4D78"/>
          </w:tcPr>
          <w:p>
            <w:pPr>
              <w:spacing w:after="0" w:line="264" w:lineRule="auto"/>
              <w:jc w:val="left"/>
            </w:pPr>
            <w:r/>
            <w:r>
              <w:rPr>
                <w:rFonts w:ascii="Calibri" w:hAnsi="Calibri"/>
                <w:b/>
                <w:i w:val="0"/>
                <w:color w:val="FFFFFF"/>
                <w:sz w:val="18"/>
              </w:rPr>
              <w:t>Area</w:t>
            </w:r>
          </w:p>
        </w:tc>
        <w:tc>
          <w:tcPr>
            <w:tcW w:type="dxa" w:w="7360"/>
            <w:vAlign w:val="center"/>
            <w:tcMar>
              <w:top w:w="80" w:type="dxa"/>
              <w:bottom w:w="80" w:type="dxa"/>
              <w:start w:w="120" w:type="dxa"/>
              <w:end w:w="120" w:type="dxa"/>
            </w:tcMar>
            <w:shd w:fill="1F4D78"/>
          </w:tcPr>
          <w:p>
            <w:pPr>
              <w:spacing w:after="0" w:line="264" w:lineRule="auto"/>
              <w:jc w:val="left"/>
            </w:pPr>
            <w:r/>
            <w:r>
              <w:rPr>
                <w:rFonts w:ascii="Calibri" w:hAnsi="Calibri"/>
                <w:b/>
                <w:i w:val="0"/>
                <w:color w:val="FFFFFF"/>
                <w:sz w:val="18"/>
              </w:rPr>
              <w:t>Plan</w:t>
            </w:r>
          </w:p>
        </w:tc>
      </w:tr>
      <w:tr>
        <w:trPr>
          <w:cantSplit/>
        </w:trPr>
        <w:tc>
          <w:tcPr>
            <w:tcW w:type="dxa" w:w="200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Environments</w:t>
            </w:r>
          </w:p>
        </w:tc>
        <w:tc>
          <w:tcPr>
            <w:tcW w:type="dxa" w:w="736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Local, test/CI, staging, production with separate databases and storage</w:t>
            </w:r>
          </w:p>
        </w:tc>
      </w:tr>
      <w:tr>
        <w:trPr>
          <w:cantSplit/>
        </w:trPr>
        <w:tc>
          <w:tcPr>
            <w:tcW w:type="dxa" w:w="200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Deployment</w:t>
            </w:r>
          </w:p>
        </w:tc>
        <w:tc>
          <w:tcPr>
            <w:tcW w:type="dxa" w:w="736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Containerized API and web; managed PostgreSQL; private object storage</w:t>
            </w:r>
          </w:p>
        </w:tc>
      </w:tr>
      <w:tr>
        <w:trPr>
          <w:cantSplit/>
        </w:trPr>
        <w:tc>
          <w:tcPr>
            <w:tcW w:type="dxa" w:w="200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Background work</w:t>
            </w:r>
          </w:p>
        </w:tc>
        <w:tc>
          <w:tcPr>
            <w:tcW w:type="dxa" w:w="736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Durable queue/worker or database-backed jobs; no critical in-process background tasks</w:t>
            </w:r>
          </w:p>
        </w:tc>
      </w:tr>
      <w:tr>
        <w:trPr>
          <w:cantSplit/>
        </w:trPr>
        <w:tc>
          <w:tcPr>
            <w:tcW w:type="dxa" w:w="200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Configuration</w:t>
            </w:r>
          </w:p>
        </w:tc>
        <w:tc>
          <w:tcPr>
            <w:tcW w:type="dxa" w:w="736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Typed environment settings; pack version and feature flags</w:t>
            </w:r>
          </w:p>
        </w:tc>
      </w:tr>
      <w:tr>
        <w:trPr>
          <w:cantSplit/>
        </w:trPr>
        <w:tc>
          <w:tcPr>
            <w:tcW w:type="dxa" w:w="200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Logs</w:t>
            </w:r>
          </w:p>
        </w:tc>
        <w:tc>
          <w:tcPr>
            <w:tcW w:type="dxa" w:w="736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Structured JSON with project-safe IDs, correlation ID, stage and error code</w:t>
            </w:r>
          </w:p>
        </w:tc>
      </w:tr>
      <w:tr>
        <w:trPr>
          <w:cantSplit/>
        </w:trPr>
        <w:tc>
          <w:tcPr>
            <w:tcW w:type="dxa" w:w="200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Metrics</w:t>
            </w:r>
          </w:p>
        </w:tc>
        <w:tc>
          <w:tcPr>
            <w:tcW w:type="dxa" w:w="736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Analysis duration/success, extraction review rate, readiness outcomes, API errors, queue age</w:t>
            </w:r>
          </w:p>
        </w:tc>
      </w:tr>
      <w:tr>
        <w:trPr>
          <w:cantSplit/>
        </w:trPr>
        <w:tc>
          <w:tcPr>
            <w:tcW w:type="dxa" w:w="200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Alerts</w:t>
            </w:r>
          </w:p>
        </w:tc>
        <w:tc>
          <w:tcPr>
            <w:tcW w:type="dxa" w:w="736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Pipeline failure spikes, stuck jobs, storage/database errors, authentication anomalies</w:t>
            </w:r>
          </w:p>
        </w:tc>
      </w:tr>
      <w:tr>
        <w:trPr>
          <w:cantSplit/>
        </w:trPr>
        <w:tc>
          <w:tcPr>
            <w:tcW w:type="dxa" w:w="200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Product analytics</w:t>
            </w:r>
          </w:p>
        </w:tc>
        <w:tc>
          <w:tcPr>
            <w:tcW w:type="dxa" w:w="736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Funnel events that avoid sensitive document content</w:t>
            </w:r>
          </w:p>
        </w:tc>
      </w:tr>
      <w:tr>
        <w:trPr>
          <w:cantSplit/>
        </w:trPr>
        <w:tc>
          <w:tcPr>
            <w:tcW w:type="dxa" w:w="200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Database migrations</w:t>
            </w:r>
          </w:p>
        </w:tc>
        <w:tc>
          <w:tcPr>
            <w:tcW w:type="dxa" w:w="736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Forward migration, tested rollback/repair plan, backups before risky changes</w:t>
            </w:r>
          </w:p>
        </w:tc>
      </w:tr>
    </w:tbl>
    <w:p>
      <w:pPr>
        <w:spacing w:after="0"/>
      </w:pPr>
    </w:p>
    <w:p>
      <w:pPr>
        <w:pStyle w:val="Heading1"/>
      </w:pPr>
      <w:r>
        <w:t>12. Phased build plan and dependencies</w:t>
      </w:r>
    </w:p>
    <w:p>
      <w:pPr>
        <w:spacing w:after="120" w:line="300" w:lineRule="auto"/>
      </w:pPr>
      <w:r>
        <w:rPr>
          <w:rFonts w:ascii="Calibri" w:hAnsi="Calibri"/>
          <w:b w:val="0"/>
          <w:i w:val="0"/>
          <w:color w:val="222222"/>
          <w:sz w:val="22"/>
        </w:rPr>
        <w:t>The phases below describe dependency order, not a calendar commitment. A phase exits only when its acceptance criteria pass.</w:t>
      </w:r>
    </w:p>
    <w:tbl>
      <w:tblPr>
        <w:tblW w:type="dxa" w:w="9360"/>
        <w:jc w:val="center"/>
        <w:tblLayout w:type="fixed"/>
        <w:tblLook w:firstColumn="1" w:firstRow="1" w:lastColumn="0" w:lastRow="0" w:noHBand="0" w:noVBand="1" w:val="04A0"/>
        <w:tblInd w:type="dxa" w:w="120"/>
      </w:tblPr>
      <w:tblGrid>
        <w:gridCol w:w="1350"/>
        <w:gridCol w:w="4770"/>
        <w:gridCol w:w="3240"/>
      </w:tblGrid>
      <w:tr>
        <w:trPr>
          <w:cantSplit/>
          <w:tblHeader w:val="true"/>
        </w:trPr>
        <w:tc>
          <w:tcPr>
            <w:tcW w:type="dxa" w:w="1350"/>
            <w:vAlign w:val="center"/>
            <w:tcMar>
              <w:top w:w="80" w:type="dxa"/>
              <w:bottom w:w="80" w:type="dxa"/>
              <w:start w:w="120" w:type="dxa"/>
              <w:end w:w="120" w:type="dxa"/>
            </w:tcMar>
            <w:shd w:fill="1F4D78"/>
          </w:tcPr>
          <w:p>
            <w:pPr>
              <w:spacing w:after="0" w:line="264" w:lineRule="auto"/>
              <w:jc w:val="left"/>
            </w:pPr>
            <w:r/>
            <w:r>
              <w:rPr>
                <w:rFonts w:ascii="Calibri" w:hAnsi="Calibri"/>
                <w:b/>
                <w:i w:val="0"/>
                <w:color w:val="FFFFFF"/>
                <w:sz w:val="18"/>
              </w:rPr>
              <w:t>Phase</w:t>
            </w:r>
          </w:p>
        </w:tc>
        <w:tc>
          <w:tcPr>
            <w:tcW w:type="dxa" w:w="4770"/>
            <w:vAlign w:val="center"/>
            <w:tcMar>
              <w:top w:w="80" w:type="dxa"/>
              <w:bottom w:w="80" w:type="dxa"/>
              <w:start w:w="120" w:type="dxa"/>
              <w:end w:w="120" w:type="dxa"/>
            </w:tcMar>
            <w:shd w:fill="1F4D78"/>
          </w:tcPr>
          <w:p>
            <w:pPr>
              <w:spacing w:after="0" w:line="264" w:lineRule="auto"/>
              <w:jc w:val="left"/>
            </w:pPr>
            <w:r/>
            <w:r>
              <w:rPr>
                <w:rFonts w:ascii="Calibri" w:hAnsi="Calibri"/>
                <w:b/>
                <w:i w:val="0"/>
                <w:color w:val="FFFFFF"/>
                <w:sz w:val="18"/>
              </w:rPr>
              <w:t>Scope</w:t>
            </w:r>
          </w:p>
        </w:tc>
        <w:tc>
          <w:tcPr>
            <w:tcW w:type="dxa" w:w="3240"/>
            <w:vAlign w:val="center"/>
            <w:tcMar>
              <w:top w:w="80" w:type="dxa"/>
              <w:bottom w:w="80" w:type="dxa"/>
              <w:start w:w="120" w:type="dxa"/>
              <w:end w:w="120" w:type="dxa"/>
            </w:tcMar>
            <w:shd w:fill="1F4D78"/>
          </w:tcPr>
          <w:p>
            <w:pPr>
              <w:spacing w:after="0" w:line="264" w:lineRule="auto"/>
              <w:jc w:val="left"/>
            </w:pPr>
            <w:r/>
            <w:r>
              <w:rPr>
                <w:rFonts w:ascii="Calibri" w:hAnsi="Calibri"/>
                <w:b/>
                <w:i w:val="0"/>
                <w:color w:val="FFFFFF"/>
                <w:sz w:val="18"/>
              </w:rPr>
              <w:t>Exit criterion</w:t>
            </w:r>
          </w:p>
        </w:tc>
      </w:tr>
      <w:tr>
        <w:trPr>
          <w:cantSplit/>
        </w:trPr>
        <w:tc>
          <w:tcPr>
            <w:tcW w:type="dxa" w:w="135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0. Baseline reliability</w:t>
            </w:r>
          </w:p>
        </w:tc>
        <w:tc>
          <w:tcPr>
            <w:tcW w:type="dxa" w:w="477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Reproducible setup, CI, build/test repair, staging, error contract</w:t>
            </w:r>
          </w:p>
        </w:tc>
        <w:tc>
          <w:tcPr>
            <w:tcW w:type="dxa" w:w="324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Current product runs reliably from clean checkout</w:t>
            </w:r>
          </w:p>
        </w:tc>
      </w:tr>
      <w:tr>
        <w:trPr>
          <w:cantSplit/>
        </w:trPr>
        <w:tc>
          <w:tcPr>
            <w:tcW w:type="dxa" w:w="135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1. Product contracts</w:t>
            </w:r>
          </w:p>
        </w:tc>
        <w:tc>
          <w:tcPr>
            <w:tcW w:type="dxa" w:w="477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Scope lock, domain model, status machine, pack schema, API contract</w:t>
            </w:r>
          </w:p>
        </w:tc>
        <w:tc>
          <w:tcPr>
            <w:tcW w:type="dxa" w:w="324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Schemas reviewed before UI expansion</w:t>
            </w:r>
          </w:p>
        </w:tc>
      </w:tr>
      <w:tr>
        <w:trPr>
          <w:cantSplit/>
        </w:trPr>
        <w:tc>
          <w:tcPr>
            <w:tcW w:type="dxa" w:w="135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2. KCMO mechanical pack</w:t>
            </w:r>
          </w:p>
        </w:tc>
        <w:tc>
          <w:tcPr>
            <w:tcW w:type="dxa" w:w="477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Sources, intake schema, permits, requirements, fixtures</w:t>
            </w:r>
          </w:p>
        </w:tc>
        <w:tc>
          <w:tcPr>
            <w:tcW w:type="dxa" w:w="324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Pack validates and passes historical fixtures</w:t>
            </w:r>
          </w:p>
        </w:tc>
      </w:tr>
      <w:tr>
        <w:trPr>
          <w:cantSplit/>
        </w:trPr>
        <w:tc>
          <w:tcPr>
            <w:tcW w:type="dxa" w:w="135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3. Persistent permit domain</w:t>
            </w:r>
          </w:p>
        </w:tc>
        <w:tc>
          <w:tcPr>
            <w:tcW w:type="dxa" w:w="477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Migrations, services, APIs, audit events, analysis snapshots</w:t>
            </w:r>
          </w:p>
        </w:tc>
        <w:tc>
          <w:tcPr>
            <w:tcW w:type="dxa" w:w="324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Permit workspace state is queryable and editable</w:t>
            </w:r>
          </w:p>
        </w:tc>
      </w:tr>
      <w:tr>
        <w:trPr>
          <w:cantSplit/>
        </w:trPr>
        <w:tc>
          <w:tcPr>
            <w:tcW w:type="dxa" w:w="135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4. Four-stage pipeline</w:t>
            </w:r>
          </w:p>
        </w:tc>
        <w:tc>
          <w:tcPr>
            <w:tcW w:type="dxa" w:w="477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Facts, detection, per-permit review, cross-permit checks, readiness</w:t>
            </w:r>
          </w:p>
        </w:tc>
        <w:tc>
          <w:tcPr>
            <w:tcW w:type="dxa" w:w="324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Deterministic and AI boundaries verified</w:t>
            </w:r>
          </w:p>
        </w:tc>
      </w:tr>
      <w:tr>
        <w:trPr>
          <w:cantSplit/>
        </w:trPr>
        <w:tc>
          <w:tcPr>
            <w:tcW w:type="dxa" w:w="135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5. Permit workspace UI</w:t>
            </w:r>
          </w:p>
        </w:tc>
        <w:tc>
          <w:tcPr>
            <w:tcW w:type="dxa" w:w="477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Facts, cards, detail, documents, issues, comments, report</w:t>
            </w:r>
          </w:p>
        </w:tc>
        <w:tc>
          <w:tcPr>
            <w:tcW w:type="dxa" w:w="324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First-time user completes demo unaided</w:t>
            </w:r>
          </w:p>
        </w:tc>
      </w:tr>
      <w:tr>
        <w:trPr>
          <w:cantSplit/>
        </w:trPr>
        <w:tc>
          <w:tcPr>
            <w:tcW w:type="dxa" w:w="135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6. Pilot operations</w:t>
            </w:r>
          </w:p>
        </w:tc>
        <w:tc>
          <w:tcPr>
            <w:tcW w:type="dxa" w:w="477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Manual external status, correction log, inspection checklist, feedback capture</w:t>
            </w:r>
          </w:p>
        </w:tc>
        <w:tc>
          <w:tcPr>
            <w:tcW w:type="dxa" w:w="324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Free pilot can be operated without spreadsheets</w:t>
            </w:r>
          </w:p>
        </w:tc>
      </w:tr>
      <w:tr>
        <w:trPr>
          <w:cantSplit/>
        </w:trPr>
        <w:tc>
          <w:tcPr>
            <w:tcW w:type="dxa" w:w="135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7. Security and launch hardening</w:t>
            </w:r>
          </w:p>
        </w:tc>
        <w:tc>
          <w:tcPr>
            <w:tcW w:type="dxa" w:w="477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Auth/RBAC, tenant isolation, storage, backup, observability, privacy</w:t>
            </w:r>
          </w:p>
        </w:tc>
        <w:tc>
          <w:tcPr>
            <w:tcW w:type="dxa" w:w="324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Pilot data can be handled responsibly</w:t>
            </w:r>
          </w:p>
        </w:tc>
      </w:tr>
      <w:tr>
        <w:trPr>
          <w:cantSplit/>
        </w:trPr>
        <w:tc>
          <w:tcPr>
            <w:tcW w:type="dxa" w:w="135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8. Validation and iteration</w:t>
            </w:r>
          </w:p>
        </w:tc>
        <w:tc>
          <w:tcPr>
            <w:tcW w:type="dxa" w:w="477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Professor review, historical replay, contractor pilots, measured defects</w:t>
            </w:r>
          </w:p>
        </w:tc>
        <w:tc>
          <w:tcPr>
            <w:tcW w:type="dxa" w:w="324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Evidence supports second trade pack</w:t>
            </w:r>
          </w:p>
        </w:tc>
      </w:tr>
      <w:tr>
        <w:trPr>
          <w:cantSplit/>
        </w:trPr>
        <w:tc>
          <w:tcPr>
            <w:tcW w:type="dxa" w:w="135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9. Pack expansion</w:t>
            </w:r>
          </w:p>
        </w:tc>
        <w:tc>
          <w:tcPr>
            <w:tcW w:type="dxa" w:w="477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Electrical or plumbing selected from demand; reuse core and pack tooling</w:t>
            </w:r>
          </w:p>
        </w:tc>
        <w:tc>
          <w:tcPr>
            <w:tcW w:type="dxa" w:w="324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Second pack ships without core fork</w:t>
            </w:r>
          </w:p>
        </w:tc>
      </w:tr>
    </w:tbl>
    <w:p>
      <w:pPr>
        <w:spacing w:after="0"/>
      </w:pPr>
    </w:p>
    <w:p>
      <w:pPr>
        <w:pStyle w:val="Heading1"/>
      </w:pPr>
      <w:r>
        <w:t>13. Detailed deliverables by repository area</w:t>
      </w:r>
    </w:p>
    <w:tbl>
      <w:tblPr>
        <w:tblW w:type="dxa" w:w="9360"/>
        <w:jc w:val="center"/>
        <w:tblLayout w:type="fixed"/>
        <w:tblLook w:firstColumn="1" w:firstRow="1" w:lastColumn="0" w:lastRow="0" w:noHBand="0" w:noVBand="1" w:val="04A0"/>
        <w:tblInd w:type="dxa" w:w="120"/>
      </w:tblPr>
      <w:tblGrid>
        <w:gridCol w:w="2450"/>
        <w:gridCol w:w="6910"/>
      </w:tblGrid>
      <w:tr>
        <w:trPr>
          <w:cantSplit/>
          <w:tblHeader w:val="true"/>
        </w:trPr>
        <w:tc>
          <w:tcPr>
            <w:tcW w:type="dxa" w:w="2450"/>
            <w:vAlign w:val="center"/>
            <w:tcMar>
              <w:top w:w="80" w:type="dxa"/>
              <w:bottom w:w="80" w:type="dxa"/>
              <w:start w:w="120" w:type="dxa"/>
              <w:end w:w="120" w:type="dxa"/>
            </w:tcMar>
            <w:shd w:fill="1F4D78"/>
          </w:tcPr>
          <w:p>
            <w:pPr>
              <w:spacing w:after="0" w:line="264" w:lineRule="auto"/>
              <w:jc w:val="left"/>
            </w:pPr>
            <w:r/>
            <w:r>
              <w:rPr>
                <w:rFonts w:ascii="Calibri" w:hAnsi="Calibri"/>
                <w:b/>
                <w:i w:val="0"/>
                <w:color w:val="FFFFFF"/>
                <w:sz w:val="18"/>
              </w:rPr>
              <w:t>Repository area</w:t>
            </w:r>
          </w:p>
        </w:tc>
        <w:tc>
          <w:tcPr>
            <w:tcW w:type="dxa" w:w="6910"/>
            <w:vAlign w:val="center"/>
            <w:tcMar>
              <w:top w:w="80" w:type="dxa"/>
              <w:bottom w:w="80" w:type="dxa"/>
              <w:start w:w="120" w:type="dxa"/>
              <w:end w:w="120" w:type="dxa"/>
            </w:tcMar>
            <w:shd w:fill="1F4D78"/>
          </w:tcPr>
          <w:p>
            <w:pPr>
              <w:spacing w:after="0" w:line="264" w:lineRule="auto"/>
              <w:jc w:val="left"/>
            </w:pPr>
            <w:r/>
            <w:r>
              <w:rPr>
                <w:rFonts w:ascii="Calibri" w:hAnsi="Calibri"/>
                <w:b/>
                <w:i w:val="0"/>
                <w:color w:val="FFFFFF"/>
                <w:sz w:val="18"/>
              </w:rPr>
              <w:t>Planned deliverables</w:t>
            </w:r>
          </w:p>
        </w:tc>
      </w:tr>
      <w:tr>
        <w:trPr>
          <w:cantSplit/>
        </w:trPr>
        <w:tc>
          <w:tcPr>
            <w:tcW w:type="dxa" w:w="245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shared/schemas</w:t>
            </w:r>
          </w:p>
        </w:tc>
        <w:tc>
          <w:tcPr>
            <w:tcW w:type="dxa" w:w="691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Consolidated facts, permits, requirements, findings, workflow, inspection, provenance and version schemas</w:t>
            </w:r>
          </w:p>
        </w:tc>
      </w:tr>
      <w:tr>
        <w:trPr>
          <w:cantSplit/>
        </w:trPr>
        <w:tc>
          <w:tcPr>
            <w:tcW w:type="dxa" w:w="245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shared/knowledge</w:t>
            </w:r>
          </w:p>
        </w:tc>
        <w:tc>
          <w:tcPr>
            <w:tcW w:type="dxa" w:w="691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Pack loader, schema validator, overlay resolver, version hash, source freshness checker</w:t>
            </w:r>
          </w:p>
        </w:tc>
      </w:tr>
      <w:tr>
        <w:trPr>
          <w:cantSplit/>
        </w:trPr>
        <w:tc>
          <w:tcPr>
            <w:tcW w:type="dxa" w:w="245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knowledge/missouri/kansas_city</w:t>
            </w:r>
          </w:p>
        </w:tc>
        <w:tc>
          <w:tcPr>
            <w:tcW w:type="dxa" w:w="691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KCMO core plus mechanical overlay, sources, fixtures and changelog</w:t>
            </w:r>
          </w:p>
        </w:tc>
      </w:tr>
      <w:tr>
        <w:trPr>
          <w:cantSplit/>
        </w:trPr>
        <w:tc>
          <w:tcPr>
            <w:tcW w:type="dxa" w:w="245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api/models.py + migrations</w:t>
            </w:r>
          </w:p>
        </w:tc>
        <w:tc>
          <w:tcPr>
            <w:tcW w:type="dxa" w:w="691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Normalized organization, project-domain and workflow tables</w:t>
            </w:r>
          </w:p>
        </w:tc>
      </w:tr>
      <w:tr>
        <w:trPr>
          <w:cantSplit/>
        </w:trPr>
        <w:tc>
          <w:tcPr>
            <w:tcW w:type="dxa" w:w="245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api/services</w:t>
            </w:r>
          </w:p>
        </w:tc>
        <w:tc>
          <w:tcPr>
            <w:tcW w:type="dxa" w:w="691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Fact, permit, review, workflow, comment, status, inspection, reporting services</w:t>
            </w:r>
          </w:p>
        </w:tc>
      </w:tr>
      <w:tr>
        <w:trPr>
          <w:cantSplit/>
        </w:trPr>
        <w:tc>
          <w:tcPr>
            <w:tcW w:type="dxa" w:w="245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api/routes</w:t>
            </w:r>
          </w:p>
        </w:tc>
        <w:tc>
          <w:tcPr>
            <w:tcW w:type="dxa" w:w="691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Resource APIs with role and state validation</w:t>
            </w:r>
          </w:p>
        </w:tc>
      </w:tr>
      <w:tr>
        <w:trPr>
          <w:cantSplit/>
        </w:trPr>
        <w:tc>
          <w:tcPr>
            <w:tcW w:type="dxa" w:w="245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shared/agent_logic</w:t>
            </w:r>
          </w:p>
        </w:tc>
        <w:tc>
          <w:tcPr>
            <w:tcW w:type="dxa" w:w="691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Stage orchestration, bounded AI adapters, deterministic post-validation</w:t>
            </w:r>
          </w:p>
        </w:tc>
      </w:tr>
      <w:tr>
        <w:trPr>
          <w:cantSplit/>
        </w:trPr>
        <w:tc>
          <w:tcPr>
            <w:tcW w:type="dxa" w:w="245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web/src/types and api</w:t>
            </w:r>
          </w:p>
        </w:tc>
        <w:tc>
          <w:tcPr>
            <w:tcW w:type="dxa" w:w="691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Generated or contract-aligned types and query functions</w:t>
            </w:r>
          </w:p>
        </w:tc>
      </w:tr>
      <w:tr>
        <w:trPr>
          <w:cantSplit/>
        </w:trPr>
        <w:tc>
          <w:tcPr>
            <w:tcW w:type="dxa" w:w="245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web/src/components/permits</w:t>
            </w:r>
          </w:p>
        </w:tc>
        <w:tc>
          <w:tcPr>
            <w:tcW w:type="dxa" w:w="691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Grid, card, detail, requirements, evidence and status components</w:t>
            </w:r>
          </w:p>
        </w:tc>
      </w:tr>
      <w:tr>
        <w:trPr>
          <w:cantSplit/>
        </w:trPr>
        <w:tc>
          <w:tcPr>
            <w:tcW w:type="dxa" w:w="245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web/src/components/workflow</w:t>
            </w:r>
          </w:p>
        </w:tc>
        <w:tc>
          <w:tcPr>
            <w:tcW w:type="dxa" w:w="691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Issue list, comment thread, timeline, review decision, inspection controls</w:t>
            </w:r>
          </w:p>
        </w:tc>
      </w:tr>
      <w:tr>
        <w:trPr>
          <w:cantSplit/>
        </w:trPr>
        <w:tc>
          <w:tcPr>
            <w:tcW w:type="dxa" w:w="245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web/src/pages</w:t>
            </w:r>
          </w:p>
        </w:tc>
        <w:tc>
          <w:tcPr>
            <w:tcW w:type="dxa" w:w="691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Portfolio, guided intake, project command center</w:t>
            </w:r>
          </w:p>
        </w:tc>
      </w:tr>
      <w:tr>
        <w:trPr>
          <w:cantSplit/>
        </w:trPr>
        <w:tc>
          <w:tcPr>
            <w:tcW w:type="dxa" w:w="245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tests</w:t>
            </w:r>
          </w:p>
        </w:tc>
        <w:tc>
          <w:tcPr>
            <w:tcW w:type="dxa" w:w="691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Pack fixtures, rule/pipeline/API/UI/E2E/security/accessibility coverage</w:t>
            </w:r>
          </w:p>
        </w:tc>
      </w:tr>
      <w:tr>
        <w:trPr>
          <w:cantSplit/>
        </w:trPr>
        <w:tc>
          <w:tcPr>
            <w:tcW w:type="dxa" w:w="245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docs</w:t>
            </w:r>
          </w:p>
        </w:tc>
        <w:tc>
          <w:tcPr>
            <w:tcW w:type="dxa" w:w="691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Architecture decision records, pack authoring guide, pilot runbook, data-handling policy</w:t>
            </w:r>
          </w:p>
        </w:tc>
      </w:tr>
    </w:tbl>
    <w:p>
      <w:pPr>
        <w:spacing w:after="0"/>
      </w:pPr>
    </w:p>
    <w:p>
      <w:pPr>
        <w:pStyle w:val="Heading1"/>
      </w:pPr>
      <w:r>
        <w:t>14. Explicit non-goals for the MVP</w:t>
      </w:r>
    </w:p>
    <w:p>
      <w:pPr>
        <w:pStyle w:val="ListBullet"/>
      </w:pPr>
      <w:r>
        <w:rPr>
          <w:rFonts w:ascii="Calibri" w:hAnsi="Calibri"/>
          <w:b w:val="0"/>
          <w:i w:val="0"/>
          <w:color w:val="222222"/>
          <w:sz w:val="21"/>
        </w:rPr>
        <w:t>Complete coverage for every contractor, project type, or KCMO permit.</w:t>
      </w:r>
    </w:p>
    <w:p>
      <w:pPr>
        <w:pStyle w:val="ListBullet"/>
      </w:pPr>
      <w:r>
        <w:rPr>
          <w:rFonts w:ascii="Calibri" w:hAnsi="Calibri"/>
          <w:b w:val="0"/>
          <w:i w:val="0"/>
          <w:color w:val="222222"/>
          <w:sz w:val="21"/>
        </w:rPr>
        <w:t>Kansas City, Kansas, Johnson County, greater Kansas, and St. Louis rules in the same initial release.</w:t>
      </w:r>
    </w:p>
    <w:p>
      <w:pPr>
        <w:pStyle w:val="ListBullet"/>
      </w:pPr>
      <w:r>
        <w:rPr>
          <w:rFonts w:ascii="Calibri" w:hAnsi="Calibri"/>
          <w:b w:val="0"/>
          <w:i w:val="0"/>
          <w:color w:val="222222"/>
          <w:sz w:val="21"/>
        </w:rPr>
        <w:t>Autonomous CompassKC login, scraping, filing, payment, messaging, or inspection booking.</w:t>
      </w:r>
    </w:p>
    <w:p>
      <w:pPr>
        <w:pStyle w:val="ListBullet"/>
      </w:pPr>
      <w:r>
        <w:rPr>
          <w:rFonts w:ascii="Calibri" w:hAnsi="Calibri"/>
          <w:b w:val="0"/>
          <w:i w:val="0"/>
          <w:color w:val="222222"/>
          <w:sz w:val="21"/>
        </w:rPr>
        <w:t>Professional code compliance certification or guaranteed municipal approval.</w:t>
      </w:r>
    </w:p>
    <w:p>
      <w:pPr>
        <w:pStyle w:val="ListBullet"/>
      </w:pPr>
      <w:r>
        <w:rPr>
          <w:rFonts w:ascii="Calibri" w:hAnsi="Calibri"/>
          <w:b w:val="0"/>
          <w:i w:val="0"/>
          <w:color w:val="222222"/>
          <w:sz w:val="21"/>
        </w:rPr>
        <w:t>Automated signed/sealed document creation.</w:t>
      </w:r>
    </w:p>
    <w:p>
      <w:pPr>
        <w:pStyle w:val="ListBullet"/>
      </w:pPr>
      <w:r>
        <w:rPr>
          <w:rFonts w:ascii="Calibri" w:hAnsi="Calibri"/>
          <w:b w:val="0"/>
          <w:i w:val="0"/>
          <w:color w:val="222222"/>
          <w:sz w:val="21"/>
        </w:rPr>
        <w:t>Deep CAD/BIM review or full plan markup.</w:t>
      </w:r>
    </w:p>
    <w:p>
      <w:pPr>
        <w:pStyle w:val="ListBullet"/>
      </w:pPr>
      <w:r>
        <w:rPr>
          <w:rFonts w:ascii="Calibri" w:hAnsi="Calibri"/>
          <w:b w:val="0"/>
          <w:i w:val="0"/>
          <w:color w:val="222222"/>
          <w:sz w:val="21"/>
        </w:rPr>
        <w:t>Enterprise billing, procurement, SSO, or every external integration.</w:t>
      </w:r>
    </w:p>
    <w:p>
      <w:pPr>
        <w:pStyle w:val="ListBullet"/>
      </w:pPr>
      <w:r>
        <w:rPr>
          <w:rFonts w:ascii="Calibri" w:hAnsi="Calibri"/>
          <w:b w:val="0"/>
          <w:i w:val="0"/>
          <w:color w:val="222222"/>
          <w:sz w:val="21"/>
        </w:rPr>
        <w:t>Microservices, event streaming infrastructure, or premature multi-region deployment.</w:t>
      </w:r>
    </w:p>
    <w:p>
      <w:pPr>
        <w:pStyle w:val="ListBullet"/>
      </w:pPr>
      <w:r>
        <w:rPr>
          <w:rFonts w:ascii="Calibri" w:hAnsi="Calibri"/>
          <w:b w:val="0"/>
          <w:i w:val="0"/>
          <w:color w:val="222222"/>
          <w:sz w:val="21"/>
        </w:rPr>
        <w:t>A separate frontend/backend codebase for each trade pack.</w:t>
      </w:r>
    </w:p>
    <w:p>
      <w:pPr>
        <w:pStyle w:val="Heading1"/>
      </w:pPr>
      <w:r>
        <w:t>15. MVP definition of done</w:t>
      </w:r>
    </w:p>
    <w:tbl>
      <w:tblPr>
        <w:tblW w:type="dxa" w:w="9360"/>
        <w:jc w:val="center"/>
        <w:tblLayout w:type="fixed"/>
        <w:tblLook w:firstColumn="1" w:firstRow="1" w:lastColumn="0" w:lastRow="0" w:noHBand="0" w:noVBand="1" w:val="04A0"/>
        <w:tblInd w:type="dxa" w:w="150"/>
      </w:tblPr>
      <w:tblGrid>
        <w:gridCol w:w="9360"/>
      </w:tblGrid>
      <w:tr>
        <w:trPr>
          <w:cantSplit/>
          <w:tblHeader w:val="true"/>
        </w:trPr>
        <w:tc>
          <w:tcPr>
            <w:tcW w:type="dxa" w:w="9360"/>
            <w:shd w:fill="EAF5EF"/>
            <w:tcMar>
              <w:top w:w="130" w:type="dxa"/>
              <w:bottom w:w="130" w:type="dxa"/>
              <w:start w:w="150" w:type="dxa"/>
              <w:end w:w="150" w:type="dxa"/>
            </w:tcMar>
          </w:tcPr>
          <w:p>
            <w:pPr>
              <w:spacing w:after="0" w:line="283" w:lineRule="auto"/>
            </w:pPr>
            <w:r/>
            <w:r>
              <w:rPr>
                <w:rFonts w:ascii="Calibri" w:hAnsi="Calibri"/>
                <w:b/>
                <w:i w:val="0"/>
                <w:color w:val="1F5E46"/>
                <w:sz w:val="18"/>
              </w:rPr>
              <w:t xml:space="preserve">FINAL ACCEPTANCE  </w:t>
            </w:r>
            <w:r>
              <w:rPr>
                <w:rFonts w:ascii="Calibri" w:hAnsi="Calibri"/>
                <w:b w:val="0"/>
                <w:i w:val="0"/>
                <w:color w:val="0B2545"/>
                <w:sz w:val="21"/>
              </w:rPr>
              <w:t>PermitOS is MVP-ready when a small KCMO mechanical contractor can create a project, provide facts and files, understand the likely permit path and missing requirements, collaborate with a reviewer, export a source-backed packet, and track corrections/inspections - with reliable builds, tests, security boundaries, and honest uncertainty.</w:t>
            </w:r>
          </w:p>
        </w:tc>
      </w:tr>
    </w:tbl>
    <w:p>
      <w:pPr>
        <w:spacing w:after="0"/>
      </w:pPr>
    </w:p>
    <w:tbl>
      <w:tblPr>
        <w:tblW w:type="dxa" w:w="9360"/>
        <w:jc w:val="center"/>
        <w:tblLayout w:type="fixed"/>
        <w:tblLook w:firstColumn="1" w:firstRow="1" w:lastColumn="0" w:lastRow="0" w:noHBand="0" w:noVBand="1" w:val="04A0"/>
        <w:tblInd w:type="dxa" w:w="120"/>
      </w:tblPr>
      <w:tblGrid>
        <w:gridCol w:w="1800"/>
        <w:gridCol w:w="7560"/>
      </w:tblGrid>
      <w:tr>
        <w:trPr>
          <w:cantSplit/>
          <w:tblHeader w:val="true"/>
        </w:trPr>
        <w:tc>
          <w:tcPr>
            <w:tcW w:type="dxa" w:w="1800"/>
            <w:vAlign w:val="center"/>
            <w:tcMar>
              <w:top w:w="80" w:type="dxa"/>
              <w:bottom w:w="80" w:type="dxa"/>
              <w:start w:w="120" w:type="dxa"/>
              <w:end w:w="120" w:type="dxa"/>
            </w:tcMar>
            <w:shd w:fill="1F4D78"/>
          </w:tcPr>
          <w:p>
            <w:pPr>
              <w:spacing w:after="0" w:line="264" w:lineRule="auto"/>
              <w:jc w:val="left"/>
            </w:pPr>
            <w:r/>
            <w:r>
              <w:rPr>
                <w:rFonts w:ascii="Calibri" w:hAnsi="Calibri"/>
                <w:b/>
                <w:i w:val="0"/>
                <w:color w:val="FFFFFF"/>
                <w:sz w:val="18"/>
              </w:rPr>
              <w:t>Category</w:t>
            </w:r>
          </w:p>
        </w:tc>
        <w:tc>
          <w:tcPr>
            <w:tcW w:type="dxa" w:w="7560"/>
            <w:vAlign w:val="center"/>
            <w:tcMar>
              <w:top w:w="80" w:type="dxa"/>
              <w:bottom w:w="80" w:type="dxa"/>
              <w:start w:w="120" w:type="dxa"/>
              <w:end w:w="120" w:type="dxa"/>
            </w:tcMar>
            <w:shd w:fill="1F4D78"/>
          </w:tcPr>
          <w:p>
            <w:pPr>
              <w:spacing w:after="0" w:line="264" w:lineRule="auto"/>
              <w:jc w:val="left"/>
            </w:pPr>
            <w:r/>
            <w:r>
              <w:rPr>
                <w:rFonts w:ascii="Calibri" w:hAnsi="Calibri"/>
                <w:b/>
                <w:i w:val="0"/>
                <w:color w:val="FFFFFF"/>
                <w:sz w:val="18"/>
              </w:rPr>
              <w:t>Definition of done</w:t>
            </w:r>
          </w:p>
        </w:tc>
      </w:tr>
      <w:tr>
        <w:trPr>
          <w:cantSplit/>
        </w:trPr>
        <w:tc>
          <w:tcPr>
            <w:tcW w:type="dxa" w:w="180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Product</w:t>
            </w:r>
          </w:p>
        </w:tc>
        <w:tc>
          <w:tcPr>
            <w:tcW w:type="dxa" w:w="756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Complete guided happy path and incomplete/risk path</w:t>
            </w:r>
          </w:p>
        </w:tc>
      </w:tr>
      <w:tr>
        <w:trPr>
          <w:cantSplit/>
        </w:trPr>
        <w:tc>
          <w:tcPr>
            <w:tcW w:type="dxa" w:w="180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Knowledge</w:t>
            </w:r>
          </w:p>
        </w:tc>
        <w:tc>
          <w:tcPr>
            <w:tcW w:type="dxa" w:w="756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Reviewed KCMO mechanical pack with source registry and regression fixtures</w:t>
            </w:r>
          </w:p>
        </w:tc>
      </w:tr>
      <w:tr>
        <w:trPr>
          <w:cantSplit/>
        </w:trPr>
        <w:tc>
          <w:tcPr>
            <w:tcW w:type="dxa" w:w="180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Accuracy</w:t>
            </w:r>
          </w:p>
        </w:tc>
        <w:tc>
          <w:tcPr>
            <w:tcW w:type="dxa" w:w="756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No unsupported requirement presented as authoritative; uncertainty is explicit</w:t>
            </w:r>
          </w:p>
        </w:tc>
      </w:tr>
      <w:tr>
        <w:trPr>
          <w:cantSplit/>
        </w:trPr>
        <w:tc>
          <w:tcPr>
            <w:tcW w:type="dxa" w:w="180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Workflow</w:t>
            </w:r>
          </w:p>
        </w:tc>
        <w:tc>
          <w:tcPr>
            <w:tcW w:type="dxa" w:w="756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Comments, tasks, review decisions, status events and inspections persist</w:t>
            </w:r>
          </w:p>
        </w:tc>
      </w:tr>
      <w:tr>
        <w:trPr>
          <w:cantSplit/>
        </w:trPr>
        <w:tc>
          <w:tcPr>
            <w:tcW w:type="dxa" w:w="180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Technical</w:t>
            </w:r>
          </w:p>
        </w:tc>
        <w:tc>
          <w:tcPr>
            <w:tcW w:type="dxa" w:w="756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Clean build, CI tests, durable jobs, migrations, staging and observability</w:t>
            </w:r>
          </w:p>
        </w:tc>
      </w:tr>
      <w:tr>
        <w:trPr>
          <w:cantSplit/>
        </w:trPr>
        <w:tc>
          <w:tcPr>
            <w:tcW w:type="dxa" w:w="180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Security</w:t>
            </w:r>
          </w:p>
        </w:tc>
        <w:tc>
          <w:tcPr>
            <w:tcW w:type="dxa" w:w="756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Authentication, RBAC, tenant scope, private file access and deletion path</w:t>
            </w:r>
          </w:p>
        </w:tc>
      </w:tr>
      <w:tr>
        <w:trPr>
          <w:cantSplit/>
        </w:trPr>
        <w:tc>
          <w:tcPr>
            <w:tcW w:type="dxa" w:w="180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Evidence</w:t>
            </w:r>
          </w:p>
        </w:tc>
        <w:tc>
          <w:tcPr>
            <w:tcW w:type="dxa" w:w="756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Every finding and requirement traces to facts, rule version and source</w:t>
            </w:r>
          </w:p>
        </w:tc>
      </w:tr>
      <w:tr>
        <w:trPr>
          <w:cantSplit/>
        </w:trPr>
        <w:tc>
          <w:tcPr>
            <w:tcW w:type="dxa" w:w="180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Validation</w:t>
            </w:r>
          </w:p>
        </w:tc>
        <w:tc>
          <w:tcPr>
            <w:tcW w:type="dxa" w:w="7560"/>
            <w:vAlign w:val="center"/>
            <w:tcMar>
              <w:top w:w="80" w:type="dxa"/>
              <w:bottom w:w="80" w:type="dxa"/>
              <w:start w:w="120" w:type="dxa"/>
              <w:end w:w="120" w:type="dxa"/>
            </w:tcMar>
            <w:shd w:fill="F7F9FB"/>
          </w:tcPr>
          <w:p>
            <w:pPr>
              <w:spacing w:after="0" w:line="264" w:lineRule="auto"/>
              <w:jc w:val="left"/>
            </w:pPr>
            <w:r/>
            <w:r>
              <w:rPr>
                <w:rFonts w:ascii="Calibri" w:hAnsi="Calibri"/>
                <w:b w:val="0"/>
                <w:i w:val="0"/>
                <w:color w:val="222222"/>
                <w:sz w:val="18"/>
              </w:rPr>
              <w:t>Trusted reviewers and historical replays completed; pilot defects logged</w:t>
            </w:r>
          </w:p>
        </w:tc>
      </w:tr>
      <w:tr>
        <w:trPr>
          <w:cantSplit/>
        </w:trPr>
        <w:tc>
          <w:tcPr>
            <w:tcW w:type="dxa" w:w="180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Go-to-market</w:t>
            </w:r>
          </w:p>
        </w:tc>
        <w:tc>
          <w:tcPr>
            <w:tcW w:type="dxa" w:w="7560"/>
            <w:vAlign w:val="center"/>
            <w:tcMar>
              <w:top w:w="80" w:type="dxa"/>
              <w:bottom w:w="80" w:type="dxa"/>
              <w:start w:w="120" w:type="dxa"/>
              <w:end w:w="120" w:type="dxa"/>
            </w:tcMar>
          </w:tcPr>
          <w:p>
            <w:pPr>
              <w:spacing w:after="0" w:line="264" w:lineRule="auto"/>
              <w:jc w:val="left"/>
            </w:pPr>
            <w:r/>
            <w:r>
              <w:rPr>
                <w:rFonts w:ascii="Calibri" w:hAnsi="Calibri"/>
                <w:b w:val="0"/>
                <w:i w:val="0"/>
                <w:color w:val="222222"/>
                <w:sz w:val="18"/>
              </w:rPr>
              <w:t>Demo, sample report, pilot scope, privacy statement and feedback process ready</w:t>
            </w:r>
          </w:p>
        </w:tc>
      </w:tr>
    </w:tbl>
    <w:p>
      <w:pPr>
        <w:spacing w:after="0"/>
      </w:pPr>
    </w:p>
    <w:p>
      <w:pPr>
        <w:pStyle w:val="Heading1"/>
      </w:pPr>
      <w:r>
        <w:t>16. Decisions required before implementation starts</w:t>
      </w:r>
    </w:p>
    <w:p>
      <w:pPr>
        <w:pStyle w:val="ListNumber"/>
      </w:pPr>
      <w:r>
        <w:rPr>
          <w:rFonts w:ascii="Calibri" w:hAnsi="Calibri"/>
          <w:b w:val="0"/>
          <w:i w:val="0"/>
          <w:color w:val="222222"/>
          <w:sz w:val="21"/>
        </w:rPr>
        <w:t>Confirm KCMO as the first jurisdiction and archive the Seattle-first plan as a previous option rather than implementing both.</w:t>
      </w:r>
    </w:p>
    <w:p>
      <w:pPr>
        <w:pStyle w:val="ListNumber"/>
      </w:pPr>
      <w:r>
        <w:rPr>
          <w:rFonts w:ascii="Calibri" w:hAnsi="Calibri"/>
          <w:b w:val="0"/>
          <w:i w:val="0"/>
          <w:color w:val="222222"/>
          <w:sz w:val="21"/>
        </w:rPr>
        <w:t>Confirm the first trade pack after short discovery; mechanical/HVAC remains the leading hypothesis.</w:t>
      </w:r>
    </w:p>
    <w:p>
      <w:pPr>
        <w:pStyle w:val="ListNumber"/>
      </w:pPr>
      <w:r>
        <w:rPr>
          <w:rFonts w:ascii="Calibri" w:hAnsi="Calibri"/>
          <w:b w:val="0"/>
          <w:i w:val="0"/>
          <w:color w:val="222222"/>
          <w:sz w:val="21"/>
        </w:rPr>
        <w:t>Choose whether early pilots are single-organization or require multi-tenant authentication from day one.</w:t>
      </w:r>
    </w:p>
    <w:p>
      <w:pPr>
        <w:pStyle w:val="ListNumber"/>
      </w:pPr>
      <w:r>
        <w:rPr>
          <w:rFonts w:ascii="Calibri" w:hAnsi="Calibri"/>
          <w:b w:val="0"/>
          <w:i w:val="0"/>
          <w:color w:val="222222"/>
          <w:sz w:val="21"/>
        </w:rPr>
        <w:t>Select the managed database, object storage, identity provider, and background-job approach.</w:t>
      </w:r>
    </w:p>
    <w:p>
      <w:pPr>
        <w:pStyle w:val="ListNumber"/>
      </w:pPr>
      <w:r>
        <w:rPr>
          <w:rFonts w:ascii="Calibri" w:hAnsi="Calibri"/>
          <w:b w:val="0"/>
          <w:i w:val="0"/>
          <w:color w:val="222222"/>
          <w:sz w:val="21"/>
        </w:rPr>
        <w:t>Name a domain reviewer responsible for approving the first pack's sources and rules.</w:t>
      </w:r>
    </w:p>
    <w:p>
      <w:pPr>
        <w:pStyle w:val="ListNumber"/>
      </w:pPr>
      <w:r>
        <w:rPr>
          <w:rFonts w:ascii="Calibri" w:hAnsi="Calibri"/>
          <w:b w:val="0"/>
          <w:i w:val="0"/>
          <w:color w:val="222222"/>
          <w:sz w:val="21"/>
        </w:rPr>
        <w:t>Approve the normalized data model and API contract before building the new dashboard.</w:t>
      </w:r>
    </w:p>
    <w:p>
      <w:pPr>
        <w:pStyle w:val="ListNumber"/>
      </w:pPr>
      <w:r>
        <w:rPr>
          <w:rFonts w:ascii="Calibri" w:hAnsi="Calibri"/>
          <w:b w:val="0"/>
          <w:i w:val="0"/>
          <w:color w:val="222222"/>
          <w:sz w:val="21"/>
        </w:rPr>
        <w:t>Define the product's legal wording for readiness, review, filing responsibility and professional escalation.</w:t>
      </w:r>
    </w:p>
    <w:p>
      <w:pPr>
        <w:pStyle w:val="Heading1"/>
      </w:pPr>
      <w:r>
        <w:t>Appendix A - Architecture principles</w:t>
      </w:r>
    </w:p>
    <w:p>
      <w:pPr>
        <w:pStyle w:val="ListBullet"/>
      </w:pPr>
      <w:r>
        <w:rPr>
          <w:rFonts w:ascii="Calibri" w:hAnsi="Calibri"/>
          <w:b w:val="0"/>
          <w:i w:val="0"/>
          <w:color w:val="222222"/>
          <w:sz w:val="21"/>
        </w:rPr>
        <w:t>Configuration over forks: new trades and jurisdictions extend packs, not application codebases.</w:t>
      </w:r>
    </w:p>
    <w:p>
      <w:pPr>
        <w:pStyle w:val="ListBullet"/>
      </w:pPr>
      <w:r>
        <w:rPr>
          <w:rFonts w:ascii="Calibri" w:hAnsi="Calibri"/>
          <w:b w:val="0"/>
          <w:i w:val="0"/>
          <w:color w:val="222222"/>
          <w:sz w:val="21"/>
        </w:rPr>
        <w:t>Rules before generation: deterministic applicability and readiness remain inspectable.</w:t>
      </w:r>
    </w:p>
    <w:p>
      <w:pPr>
        <w:pStyle w:val="ListBullet"/>
      </w:pPr>
      <w:r>
        <w:rPr>
          <w:rFonts w:ascii="Calibri" w:hAnsi="Calibri"/>
          <w:b w:val="0"/>
          <w:i w:val="0"/>
          <w:color w:val="222222"/>
          <w:sz w:val="21"/>
        </w:rPr>
        <w:t>Provenance everywhere: facts, requirements, findings and decisions retain sources and versions.</w:t>
      </w:r>
    </w:p>
    <w:p>
      <w:pPr>
        <w:pStyle w:val="ListBullet"/>
      </w:pPr>
      <w:r>
        <w:rPr>
          <w:rFonts w:ascii="Calibri" w:hAnsi="Calibri"/>
          <w:b w:val="0"/>
          <w:i w:val="0"/>
          <w:color w:val="222222"/>
          <w:sz w:val="21"/>
        </w:rPr>
        <w:t>Human control at external boundaries: filing, payment, representations and communications require authorized approval.</w:t>
      </w:r>
    </w:p>
    <w:p>
      <w:pPr>
        <w:pStyle w:val="ListBullet"/>
      </w:pPr>
      <w:r>
        <w:rPr>
          <w:rFonts w:ascii="Calibri" w:hAnsi="Calibri"/>
          <w:b w:val="0"/>
          <w:i w:val="0"/>
          <w:color w:val="222222"/>
          <w:sz w:val="21"/>
        </w:rPr>
        <w:t>Uncertainty is data: ambiguous and low-confidence states are first-class, not hidden errors.</w:t>
      </w:r>
    </w:p>
    <w:p>
      <w:pPr>
        <w:pStyle w:val="ListBullet"/>
      </w:pPr>
      <w:r>
        <w:rPr>
          <w:rFonts w:ascii="Calibri" w:hAnsi="Calibri"/>
          <w:b w:val="0"/>
          <w:i w:val="0"/>
          <w:color w:val="222222"/>
          <w:sz w:val="21"/>
        </w:rPr>
        <w:t>Operational state is normalized: snapshots support audit, but JSON blobs do not run the workflow.</w:t>
      </w:r>
    </w:p>
    <w:p>
      <w:pPr>
        <w:pStyle w:val="ListBullet"/>
      </w:pPr>
      <w:r>
        <w:rPr>
          <w:rFonts w:ascii="Calibri" w:hAnsi="Calibri"/>
          <w:b w:val="0"/>
          <w:i w:val="0"/>
          <w:color w:val="222222"/>
          <w:sz w:val="21"/>
        </w:rPr>
        <w:t>Modular monolith first: clear boundaries without unnecessary distributed-system complexity.</w:t>
      </w:r>
    </w:p>
    <w:p>
      <w:pPr>
        <w:pStyle w:val="ListBullet"/>
      </w:pPr>
      <w:r>
        <w:rPr>
          <w:rFonts w:ascii="Calibri" w:hAnsi="Calibri"/>
          <w:b w:val="0"/>
          <w:i w:val="0"/>
          <w:color w:val="222222"/>
          <w:sz w:val="21"/>
        </w:rPr>
        <w:t>Measure outcomes: build around time saved, corrections, completion, and review quality rather than AI activity.</w:t>
      </w:r>
    </w:p>
    <w:p>
      <w:pPr>
        <w:pStyle w:val="Heading1"/>
      </w:pPr>
      <w:r>
        <w:t>Appendix B - Planning assumptions</w:t>
      </w:r>
    </w:p>
    <w:p>
      <w:pPr>
        <w:pStyle w:val="ListBullet"/>
      </w:pPr>
      <w:r>
        <w:rPr>
          <w:rFonts w:ascii="Calibri" w:hAnsi="Calibri"/>
          <w:b w:val="0"/>
          <w:i w:val="0"/>
          <w:color w:val="222222"/>
          <w:sz w:val="21"/>
        </w:rPr>
        <w:t>The existing React/FastAPI/SQLAlchemy stack remains in place.</w:t>
      </w:r>
    </w:p>
    <w:p>
      <w:pPr>
        <w:pStyle w:val="ListBullet"/>
      </w:pPr>
      <w:r>
        <w:rPr>
          <w:rFonts w:ascii="Calibri" w:hAnsi="Calibri"/>
          <w:b w:val="0"/>
          <w:i w:val="0"/>
          <w:color w:val="222222"/>
          <w:sz w:val="21"/>
        </w:rPr>
        <w:t>PostgreSQL and private object storage replace local-only persistence for hosted pilots.</w:t>
      </w:r>
    </w:p>
    <w:p>
      <w:pPr>
        <w:pStyle w:val="ListBullet"/>
      </w:pPr>
      <w:r>
        <w:rPr>
          <w:rFonts w:ascii="Calibri" w:hAnsi="Calibri"/>
          <w:b w:val="0"/>
          <w:i w:val="0"/>
          <w:color w:val="222222"/>
          <w:sz w:val="21"/>
        </w:rPr>
        <w:t>The initial KCMO workflow records CompassKC activity manually; portal integration is not implied.</w:t>
      </w:r>
    </w:p>
    <w:p>
      <w:pPr>
        <w:pStyle w:val="ListBullet"/>
      </w:pPr>
      <w:r>
        <w:rPr>
          <w:rFonts w:ascii="Calibri" w:hAnsi="Calibri"/>
          <w:b w:val="0"/>
          <w:i w:val="0"/>
          <w:color w:val="222222"/>
          <w:sz w:val="21"/>
        </w:rPr>
        <w:t>Domain experts review sources and edge cases, but the product does not require a full-time expert for every routine project.</w:t>
      </w:r>
    </w:p>
    <w:p>
      <w:pPr>
        <w:pStyle w:val="ListBullet"/>
      </w:pPr>
      <w:r>
        <w:rPr>
          <w:rFonts w:ascii="Calibri" w:hAnsi="Calibri"/>
          <w:b w:val="0"/>
          <w:i w:val="0"/>
          <w:color w:val="222222"/>
          <w:sz w:val="21"/>
        </w:rPr>
        <w:t>The current permit-card schema is a foundation, not a completed end-to-end implementation.</w:t>
      </w:r>
    </w:p>
    <w:p>
      <w:pPr>
        <w:pStyle w:val="ListBullet"/>
      </w:pPr>
      <w:r>
        <w:rPr>
          <w:rFonts w:ascii="Calibri" w:hAnsi="Calibri"/>
          <w:b w:val="0"/>
          <w:i w:val="0"/>
          <w:color w:val="222222"/>
          <w:sz w:val="21"/>
        </w:rPr>
        <w:t>This document is an implementation plan only; no source code or production data was changed as part of this deliverable.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F6872"/>
        <w:sz w:val="16"/>
      </w:rPr>
      <w:t>Local planning artifact -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5F6872"/>
        <w:sz w:val="17"/>
      </w:rPr>
      <w:t>PERMITOS | TECHNICAL IMPLEMENTATION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PermitOS Technical Implementation Plan</dc:title>
  <dc:subject>Technical plan for a KCMO-first configurable permitting operations MVP</dc:subject>
  <dc:creator>PermitOS</dc:creator>
  <cp:keywords/>
  <dc:description>generated by python-docx</dc:description>
  <cp:lastModifiedBy/>
  <cp:revision>1</cp:revision>
  <dcterms:created xsi:type="dcterms:W3CDTF">2013-12-23T23:15:00Z</dcterms:created>
  <dcterms:modified xsi:type="dcterms:W3CDTF">2013-12-23T23:15:00Z</dcterms:modified>
  <cp:category/>
</cp:coreProperties>
</file>