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8A6200"/>
          <w:sz w:val="20"/>
        </w:rPr>
        <w:t>ESTATEPERMIT PRODUCT PLAN</w:t>
      </w:r>
    </w:p>
    <w:p>
      <w:pPr>
        <w:spacing w:after="140"/>
      </w:pPr>
      <w:r>
        <w:rPr>
          <w:rFonts w:ascii="Calibri" w:hAnsi="Calibri"/>
          <w:b/>
          <w:color w:val="17324D"/>
          <w:sz w:val="56"/>
        </w:rPr>
        <w:t>Five-Step MVP Implementation Plan</w:t>
      </w:r>
    </w:p>
    <w:p>
      <w:pPr>
        <w:spacing w:after="360"/>
      </w:pPr>
      <w:r>
        <w:rPr>
          <w:rFonts w:ascii="Calibri" w:hAnsi="Calibri"/>
          <w:color w:val="5B6673"/>
          <w:sz w:val="27"/>
        </w:rPr>
        <w:t>A city-agnostic permitting workspace with Kansas City as the first deeply validated market</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F4F7FA"/>
            <w:vAlign w:val="center"/>
          </w:tcPr>
          <w:p>
            <w:pPr>
              <w:spacing w:after="0"/>
            </w:pPr>
            <w:r>
              <w:rPr>
                <w:rFonts w:ascii="Calibri" w:hAnsi="Calibri"/>
                <w:b/>
                <w:color w:val="17324D"/>
                <w:sz w:val="21"/>
              </w:rPr>
              <w:t>Product principle</w:t>
            </w:r>
          </w:p>
        </w:tc>
        <w:tc>
          <w:tcPr>
            <w:tcW w:type="dxa" w:w="4680"/>
            <w:tcMar>
              <w:top w:w="80" w:type="dxa"/>
              <w:start w:w="120" w:type="dxa"/>
              <w:bottom w:w="80" w:type="dxa"/>
              <w:end w:w="120" w:type="dxa"/>
            </w:tcMar>
            <w:shd w:fill="F4F7FA"/>
            <w:vAlign w:val="center"/>
          </w:tcPr>
          <w:p>
            <w:pPr>
              <w:spacing w:after="0"/>
            </w:pPr>
            <w:r>
              <w:rPr>
                <w:rFonts w:ascii="Calibri" w:hAnsi="Calibri"/>
                <w:b w:val="0"/>
                <w:color w:val="243447"/>
                <w:sz w:val="21"/>
              </w:rPr>
              <w:t>City is selected for every project</w:t>
            </w:r>
          </w:p>
        </w:tc>
      </w:tr>
      <w:tr>
        <w:tc>
          <w:tcPr>
            <w:tcW w:type="dxa" w:w="4680"/>
            <w:tcMar>
              <w:top w:w="80" w:type="dxa"/>
              <w:start w:w="120" w:type="dxa"/>
              <w:bottom w:w="80" w:type="dxa"/>
              <w:end w:w="120" w:type="dxa"/>
            </w:tcMar>
            <w:shd w:fill="FFFFFF"/>
            <w:vAlign w:val="center"/>
          </w:tcPr>
          <w:p>
            <w:pPr>
              <w:spacing w:after="0"/>
            </w:pPr>
            <w:r>
              <w:rPr>
                <w:rFonts w:ascii="Calibri" w:hAnsi="Calibri"/>
                <w:b/>
                <w:color w:val="17324D"/>
                <w:sz w:val="21"/>
              </w:rPr>
              <w:t>First strong market</w:t>
            </w:r>
          </w:p>
        </w:tc>
        <w:tc>
          <w:tcPr>
            <w:tcW w:type="dxa" w:w="4680"/>
            <w:tcMar>
              <w:top w:w="80" w:type="dxa"/>
              <w:start w:w="120" w:type="dxa"/>
              <w:bottom w:w="80" w:type="dxa"/>
              <w:end w:w="120" w:type="dxa"/>
            </w:tcMar>
            <w:shd w:fill="FFFFFF"/>
            <w:vAlign w:val="center"/>
          </w:tcPr>
          <w:p>
            <w:pPr>
              <w:spacing w:after="0"/>
            </w:pPr>
            <w:r>
              <w:rPr>
                <w:rFonts w:ascii="Calibri" w:hAnsi="Calibri"/>
                <w:b w:val="0"/>
                <w:color w:val="243447"/>
                <w:sz w:val="21"/>
              </w:rPr>
              <w:t>Kansas City, Missouri</w:t>
            </w:r>
          </w:p>
        </w:tc>
      </w:tr>
      <w:tr>
        <w:tc>
          <w:tcPr>
            <w:tcW w:type="dxa" w:w="4680"/>
            <w:tcMar>
              <w:top w:w="80" w:type="dxa"/>
              <w:start w:w="120" w:type="dxa"/>
              <w:bottom w:w="80" w:type="dxa"/>
              <w:end w:w="120" w:type="dxa"/>
            </w:tcMar>
            <w:shd w:fill="F4F7FA"/>
            <w:vAlign w:val="center"/>
          </w:tcPr>
          <w:p>
            <w:pPr>
              <w:spacing w:after="0"/>
            </w:pPr>
            <w:r>
              <w:rPr>
                <w:rFonts w:ascii="Calibri" w:hAnsi="Calibri"/>
                <w:b/>
                <w:color w:val="17324D"/>
                <w:sz w:val="21"/>
              </w:rPr>
              <w:t>End state</w:t>
            </w:r>
          </w:p>
        </w:tc>
        <w:tc>
          <w:tcPr>
            <w:tcW w:type="dxa" w:w="4680"/>
            <w:tcMar>
              <w:top w:w="80" w:type="dxa"/>
              <w:start w:w="120" w:type="dxa"/>
              <w:bottom w:w="80" w:type="dxa"/>
              <w:end w:w="120" w:type="dxa"/>
            </w:tcMar>
            <w:shd w:fill="F4F7FA"/>
            <w:vAlign w:val="center"/>
          </w:tcPr>
          <w:p>
            <w:pPr>
              <w:spacing w:after="0"/>
            </w:pPr>
            <w:r>
              <w:rPr>
                <w:rFonts w:ascii="Calibri" w:hAnsi="Calibri"/>
                <w:b w:val="0"/>
                <w:color w:val="243447"/>
                <w:sz w:val="21"/>
              </w:rPr>
              <w:t>Pilot-ready and credible in a customer pitch</w:t>
            </w:r>
          </w:p>
        </w:tc>
      </w:tr>
    </w:tbl>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1F4D78"/>
                <w:sz w:val="21"/>
              </w:rPr>
              <w:t xml:space="preserve">The correction to the earlier plan: </w:t>
            </w:r>
            <w:r>
              <w:rPr>
                <w:rFonts w:ascii="Calibri" w:hAnsi="Calibri"/>
                <w:color w:val="243447"/>
                <w:sz w:val="21"/>
              </w:rPr>
              <w:t>EstatePermit will not assume Kansas City. Every project begins with a location and jurisdiction selection. Kansas City is the first city where the permit guidance, rules, forms, portal links, contacts, and workflows are made strong enough to sell. Other cities can be added through the same repeatable city-pack process.</w:t>
            </w:r>
          </w:p>
        </w:tc>
      </w:tr>
    </w:tbl>
    <w:p>
      <w:pPr>
        <w:spacing w:after="0"/>
      </w:pPr>
    </w:p>
    <w:p>
      <w:pPr>
        <w:pStyle w:val="Heading1"/>
        <w:keepNext/>
      </w:pPr>
      <w:r>
        <w:t>What this plan is - and is not</w:t>
      </w:r>
    </w:p>
    <w:p>
      <w:pPr>
        <w:pStyle w:val="ListBullet"/>
        <w:spacing w:after="80" w:line="300" w:lineRule="auto"/>
      </w:pPr>
      <w:r>
        <w:rPr>
          <w:rFonts w:ascii="Calibri" w:hAnsi="Calibri"/>
          <w:color w:val="243447"/>
          <w:sz w:val="22"/>
        </w:rPr>
        <w:t>This is a product implementation sequence: what users will receive in each step and how we know the step is complete.</w:t>
      </w:r>
    </w:p>
    <w:p>
      <w:pPr>
        <w:pStyle w:val="ListBullet"/>
        <w:spacing w:after="80" w:line="300" w:lineRule="auto"/>
      </w:pPr>
      <w:r>
        <w:rPr>
          <w:rFonts w:ascii="Calibri" w:hAnsi="Calibri"/>
          <w:color w:val="243447"/>
          <w:sz w:val="22"/>
        </w:rPr>
        <w:t>It is not a low-level architecture document, code specification, or week-by-week engineering schedule.</w:t>
      </w:r>
    </w:p>
    <w:p>
      <w:pPr>
        <w:pStyle w:val="ListBullet"/>
        <w:spacing w:after="80" w:line="300" w:lineRule="auto"/>
      </w:pPr>
      <w:r>
        <w:rPr>
          <w:rFonts w:ascii="Calibri" w:hAnsi="Calibri"/>
          <w:color w:val="243447"/>
          <w:sz w:val="22"/>
        </w:rPr>
        <w:t>The five steps are ordered by dependency. The team can work on design, research, and testing in parallel, but each completion gate must be met before claiming the next level of readiness.</w:t>
      </w:r>
    </w:p>
    <w:p>
      <w:pPr>
        <w:pStyle w:val="Heading1"/>
        <w:keepNext/>
      </w:pPr>
      <w:r>
        <w:t>The MVP promise</w:t>
      </w:r>
    </w:p>
    <w:p>
      <w:pPr>
        <w:spacing w:after="120" w:line="300" w:lineRule="auto"/>
      </w:pPr>
      <w:r>
        <w:rPr>
          <w:rFonts w:ascii="Calibri" w:hAnsi="Calibri"/>
          <w:b/>
          <w:color w:val="243447"/>
          <w:sz w:val="22"/>
        </w:rPr>
        <w:t xml:space="preserve">For a contractor: </w:t>
      </w:r>
      <w:r>
        <w:rPr>
          <w:rFonts w:ascii="Calibri" w:hAnsi="Calibri"/>
          <w:color w:val="243447"/>
          <w:sz w:val="22"/>
        </w:rPr>
        <w:t>Create a project, select the city and work type, understand which permits are likely needed, organize the required documents, see what is missing, collaborate on corrections, and track the permit through submission, review, inspections, and closeout.</w:t>
      </w:r>
    </w:p>
    <w:p>
      <w:pPr>
        <w:spacing w:after="120" w:line="300" w:lineRule="auto"/>
      </w:pPr>
      <w:r>
        <w:rPr>
          <w:rFonts w:ascii="Calibri" w:hAnsi="Calibri"/>
          <w:b/>
          <w:color w:val="243447"/>
          <w:sz w:val="22"/>
        </w:rPr>
        <w:t xml:space="preserve">For EstatePermit: </w:t>
      </w:r>
      <w:r>
        <w:rPr>
          <w:rFonts w:ascii="Calibri" w:hAnsi="Calibri"/>
          <w:color w:val="243447"/>
          <w:sz w:val="22"/>
        </w:rPr>
        <w:t>Be broadly structured enough to accept any city and trade, while only claiming reliable permit guidance where a city pack has been validated.</w:t>
      </w:r>
    </w:p>
    <w:p>
      <w:pPr>
        <w:spacing w:after="120" w:line="300" w:lineRule="auto"/>
      </w:pPr>
      <w:r>
        <w:rPr>
          <w:rFonts w:ascii="Calibri" w:hAnsi="Calibri"/>
          <w:b/>
          <w:color w:val="243447"/>
          <w:sz w:val="22"/>
        </w:rPr>
        <w:t xml:space="preserve">For the first pitch: </w:t>
      </w:r>
      <w:r>
        <w:rPr>
          <w:rFonts w:ascii="Calibri" w:hAnsi="Calibri"/>
          <w:color w:val="243447"/>
          <w:sz w:val="22"/>
        </w:rPr>
        <w:t>Demonstrate a complete, trustworthy Kansas City workflow with real-looking projects, transparent sources, and enough operational value that a small firm will agree to a pilot.</w:t>
      </w:r>
    </w:p>
    <w:p>
      <w:pPr>
        <w:pStyle w:val="Heading1"/>
        <w:keepNext/>
      </w:pPr>
      <w:r>
        <w:t>Five-step build at a glance</w:t>
      </w:r>
    </w:p>
    <w:tbl>
      <w:tblPr>
        <w:tblW w:type="dxa" w:w="9360"/>
        <w:jc w:val="left"/>
        <w:tblLayout w:type="fixed"/>
        <w:tblLook w:firstColumn="1" w:firstRow="1" w:lastColumn="0" w:lastRow="0" w:noHBand="0" w:noVBand="1" w:val="04A0"/>
        <w:tblInd w:w="120" w:type="dxa"/>
      </w:tblPr>
      <w:tblGrid>
        <w:gridCol w:w="1150"/>
        <w:gridCol w:w="2920"/>
        <w:gridCol w:w="5290"/>
      </w:tblGrid>
      <w:tr>
        <w:trPr>
          <w:tblHeader w:val="true"/>
        </w:trPr>
        <w:tc>
          <w:tcPr>
            <w:tcW w:type="dxa" w:w="1150"/>
            <w:tcMar>
              <w:top w:w="80" w:type="dxa"/>
              <w:start w:w="120" w:type="dxa"/>
              <w:bottom w:w="80" w:type="dxa"/>
              <w:end w:w="120" w:type="dxa"/>
            </w:tcMar>
            <w:shd w:fill="17324D"/>
          </w:tcPr>
          <w:p>
            <w:pPr>
              <w:spacing w:after="0"/>
            </w:pPr>
            <w:r>
              <w:rPr>
                <w:rFonts w:ascii="Calibri" w:hAnsi="Calibri"/>
                <w:b/>
                <w:color w:val="FFFFFF"/>
                <w:sz w:val="20"/>
              </w:rPr>
              <w:t>Step</w:t>
            </w:r>
          </w:p>
        </w:tc>
        <w:tc>
          <w:tcPr>
            <w:tcW w:type="dxa" w:w="2920"/>
            <w:tcMar>
              <w:top w:w="80" w:type="dxa"/>
              <w:start w:w="120" w:type="dxa"/>
              <w:bottom w:w="80" w:type="dxa"/>
              <w:end w:w="120" w:type="dxa"/>
            </w:tcMar>
            <w:shd w:fill="17324D"/>
          </w:tcPr>
          <w:p>
            <w:pPr>
              <w:spacing w:after="0"/>
            </w:pPr>
            <w:r>
              <w:rPr>
                <w:rFonts w:ascii="Calibri" w:hAnsi="Calibri"/>
                <w:b/>
                <w:color w:val="FFFFFF"/>
                <w:sz w:val="20"/>
              </w:rPr>
              <w:t>Build focus</w:t>
            </w:r>
          </w:p>
        </w:tc>
        <w:tc>
          <w:tcPr>
            <w:tcW w:type="dxa" w:w="5290"/>
            <w:tcMar>
              <w:top w:w="80" w:type="dxa"/>
              <w:start w:w="120" w:type="dxa"/>
              <w:bottom w:w="80" w:type="dxa"/>
              <w:end w:w="120" w:type="dxa"/>
            </w:tcMar>
            <w:shd w:fill="17324D"/>
          </w:tcPr>
          <w:p>
            <w:pPr>
              <w:spacing w:after="0"/>
            </w:pPr>
            <w:r>
              <w:rPr>
                <w:rFonts w:ascii="Calibri" w:hAnsi="Calibri"/>
                <w:b/>
                <w:color w:val="FFFFFF"/>
                <w:sz w:val="20"/>
              </w:rPr>
              <w:t>What becomes possible</w:t>
            </w:r>
          </w:p>
        </w:tc>
      </w:tr>
      <w:tr>
        <w:tc>
          <w:tcPr>
            <w:tcW w:type="dxa" w:w="1150"/>
            <w:tcMar>
              <w:top w:w="80" w:type="dxa"/>
              <w:start w:w="120" w:type="dxa"/>
              <w:bottom w:w="80" w:type="dxa"/>
              <w:end w:w="120" w:type="dxa"/>
            </w:tcMar>
            <w:shd w:fill="F4F7FA"/>
          </w:tcPr>
          <w:p>
            <w:pPr>
              <w:spacing w:after="0"/>
            </w:pPr>
            <w:r>
              <w:rPr>
                <w:rFonts w:ascii="Calibri" w:hAnsi="Calibri"/>
                <w:b/>
                <w:color w:val="243447"/>
                <w:sz w:val="19"/>
              </w:rPr>
              <w:t>1</w:t>
            </w:r>
          </w:p>
        </w:tc>
        <w:tc>
          <w:tcPr>
            <w:tcW w:type="dxa" w:w="2920"/>
            <w:tcMar>
              <w:top w:w="80" w:type="dxa"/>
              <w:start w:w="120" w:type="dxa"/>
              <w:bottom w:w="80" w:type="dxa"/>
              <w:end w:w="120" w:type="dxa"/>
            </w:tcMar>
            <w:shd w:fill="F4F7FA"/>
          </w:tcPr>
          <w:p>
            <w:pPr>
              <w:spacing w:after="0"/>
            </w:pPr>
            <w:r>
              <w:rPr>
                <w:rFonts w:ascii="Calibri" w:hAnsi="Calibri"/>
                <w:b w:val="0"/>
                <w:color w:val="243447"/>
                <w:sz w:val="19"/>
              </w:rPr>
              <w:t>Universal project foundation</w:t>
            </w:r>
          </w:p>
        </w:tc>
        <w:tc>
          <w:tcPr>
            <w:tcW w:type="dxa" w:w="5290"/>
            <w:tcMar>
              <w:top w:w="80" w:type="dxa"/>
              <w:start w:w="120" w:type="dxa"/>
              <w:bottom w:w="80" w:type="dxa"/>
              <w:end w:w="120" w:type="dxa"/>
            </w:tcMar>
            <w:shd w:fill="F4F7FA"/>
          </w:tcPr>
          <w:p>
            <w:pPr>
              <w:spacing w:after="0"/>
            </w:pPr>
            <w:r>
              <w:rPr>
                <w:rFonts w:ascii="Calibri" w:hAnsi="Calibri"/>
                <w:b w:val="0"/>
                <w:color w:val="243447"/>
                <w:sz w:val="19"/>
              </w:rPr>
              <w:t>Any project selects its city, jurisdiction, trade, and work scope; coverage is labeled honestly.</w:t>
            </w:r>
          </w:p>
        </w:tc>
      </w:tr>
      <w:tr>
        <w:tc>
          <w:tcPr>
            <w:tcW w:type="dxa" w:w="1150"/>
            <w:tcMar>
              <w:top w:w="80" w:type="dxa"/>
              <w:start w:w="120" w:type="dxa"/>
              <w:bottom w:w="80" w:type="dxa"/>
              <w:end w:w="120" w:type="dxa"/>
            </w:tcMar>
            <w:shd w:fill="FFFFFF"/>
          </w:tcPr>
          <w:p>
            <w:pPr>
              <w:spacing w:after="0"/>
            </w:pPr>
            <w:r>
              <w:rPr>
                <w:rFonts w:ascii="Calibri" w:hAnsi="Calibri"/>
                <w:b/>
                <w:color w:val="243447"/>
                <w:sz w:val="19"/>
              </w:rPr>
              <w:t>2</w:t>
            </w:r>
          </w:p>
        </w:tc>
        <w:tc>
          <w:tcPr>
            <w:tcW w:type="dxa" w:w="2920"/>
            <w:tcMar>
              <w:top w:w="80" w:type="dxa"/>
              <w:start w:w="120" w:type="dxa"/>
              <w:bottom w:w="80" w:type="dxa"/>
              <w:end w:w="120" w:type="dxa"/>
            </w:tcMar>
            <w:shd w:fill="FFFFFF"/>
          </w:tcPr>
          <w:p>
            <w:pPr>
              <w:spacing w:after="0"/>
            </w:pPr>
            <w:r>
              <w:rPr>
                <w:rFonts w:ascii="Calibri" w:hAnsi="Calibri"/>
                <w:b w:val="0"/>
                <w:color w:val="243447"/>
                <w:sz w:val="19"/>
              </w:rPr>
              <w:t>Kansas City city pack</w:t>
            </w:r>
          </w:p>
        </w:tc>
        <w:tc>
          <w:tcPr>
            <w:tcW w:type="dxa" w:w="5290"/>
            <w:tcMar>
              <w:top w:w="80" w:type="dxa"/>
              <w:start w:w="120" w:type="dxa"/>
              <w:bottom w:w="80" w:type="dxa"/>
              <w:end w:w="120" w:type="dxa"/>
            </w:tcMar>
            <w:shd w:fill="FFFFFF"/>
          </w:tcPr>
          <w:p>
            <w:pPr>
              <w:spacing w:after="0"/>
            </w:pPr>
            <w:r>
              <w:rPr>
                <w:rFonts w:ascii="Calibri" w:hAnsi="Calibri"/>
                <w:b w:val="0"/>
                <w:color w:val="243447"/>
                <w:sz w:val="19"/>
              </w:rPr>
              <w:t>Kansas City projects receive validated local permit guidance and source-backed requirements.</w:t>
            </w:r>
          </w:p>
        </w:tc>
      </w:tr>
      <w:tr>
        <w:tc>
          <w:tcPr>
            <w:tcW w:type="dxa" w:w="1150"/>
            <w:tcMar>
              <w:top w:w="80" w:type="dxa"/>
              <w:start w:w="120" w:type="dxa"/>
              <w:bottom w:w="80" w:type="dxa"/>
              <w:end w:w="120" w:type="dxa"/>
            </w:tcMar>
            <w:shd w:fill="F4F7FA"/>
          </w:tcPr>
          <w:p>
            <w:pPr>
              <w:spacing w:after="0"/>
            </w:pPr>
            <w:r>
              <w:rPr>
                <w:rFonts w:ascii="Calibri" w:hAnsi="Calibri"/>
                <w:b/>
                <w:color w:val="243447"/>
                <w:sz w:val="19"/>
              </w:rPr>
              <w:t>3</w:t>
            </w:r>
          </w:p>
        </w:tc>
        <w:tc>
          <w:tcPr>
            <w:tcW w:type="dxa" w:w="2920"/>
            <w:tcMar>
              <w:top w:w="80" w:type="dxa"/>
              <w:start w:w="120" w:type="dxa"/>
              <w:bottom w:w="80" w:type="dxa"/>
              <w:end w:w="120" w:type="dxa"/>
            </w:tcMar>
            <w:shd w:fill="F4F7FA"/>
          </w:tcPr>
          <w:p>
            <w:pPr>
              <w:spacing w:after="0"/>
            </w:pPr>
            <w:r>
              <w:rPr>
                <w:rFonts w:ascii="Calibri" w:hAnsi="Calibri"/>
                <w:b w:val="0"/>
                <w:color w:val="243447"/>
                <w:sz w:val="19"/>
              </w:rPr>
              <w:t>Permit readiness workspace</w:t>
            </w:r>
          </w:p>
        </w:tc>
        <w:tc>
          <w:tcPr>
            <w:tcW w:type="dxa" w:w="5290"/>
            <w:tcMar>
              <w:top w:w="80" w:type="dxa"/>
              <w:start w:w="120" w:type="dxa"/>
              <w:bottom w:w="80" w:type="dxa"/>
              <w:end w:w="120" w:type="dxa"/>
            </w:tcMar>
            <w:shd w:fill="F4F7FA"/>
          </w:tcPr>
          <w:p>
            <w:pPr>
              <w:spacing w:after="0"/>
            </w:pPr>
            <w:r>
              <w:rPr>
                <w:rFonts w:ascii="Calibri" w:hAnsi="Calibri"/>
                <w:b w:val="0"/>
                <w:color w:val="243447"/>
                <w:sz w:val="19"/>
              </w:rPr>
              <w:t>Users discover permits, upload documents, resolve missing items, and produce a permit-ready package.</w:t>
            </w:r>
          </w:p>
        </w:tc>
      </w:tr>
      <w:tr>
        <w:tc>
          <w:tcPr>
            <w:tcW w:type="dxa" w:w="1150"/>
            <w:tcMar>
              <w:top w:w="80" w:type="dxa"/>
              <w:start w:w="120" w:type="dxa"/>
              <w:bottom w:w="80" w:type="dxa"/>
              <w:end w:w="120" w:type="dxa"/>
            </w:tcMar>
            <w:shd w:fill="FFFFFF"/>
          </w:tcPr>
          <w:p>
            <w:pPr>
              <w:spacing w:after="0"/>
            </w:pPr>
            <w:r>
              <w:rPr>
                <w:rFonts w:ascii="Calibri" w:hAnsi="Calibri"/>
                <w:b/>
                <w:color w:val="243447"/>
                <w:sz w:val="19"/>
              </w:rPr>
              <w:t>4</w:t>
            </w:r>
          </w:p>
        </w:tc>
        <w:tc>
          <w:tcPr>
            <w:tcW w:type="dxa" w:w="2920"/>
            <w:tcMar>
              <w:top w:w="80" w:type="dxa"/>
              <w:start w:w="120" w:type="dxa"/>
              <w:bottom w:w="80" w:type="dxa"/>
              <w:end w:w="120" w:type="dxa"/>
            </w:tcMar>
            <w:shd w:fill="FFFFFF"/>
          </w:tcPr>
          <w:p>
            <w:pPr>
              <w:spacing w:after="0"/>
            </w:pPr>
            <w:r>
              <w:rPr>
                <w:rFonts w:ascii="Calibri" w:hAnsi="Calibri"/>
                <w:b w:val="0"/>
                <w:color w:val="243447"/>
                <w:sz w:val="19"/>
              </w:rPr>
              <w:t>Collaboration and lifecycle</w:t>
            </w:r>
          </w:p>
        </w:tc>
        <w:tc>
          <w:tcPr>
            <w:tcW w:type="dxa" w:w="5290"/>
            <w:tcMar>
              <w:top w:w="80" w:type="dxa"/>
              <w:start w:w="120" w:type="dxa"/>
              <w:bottom w:w="80" w:type="dxa"/>
              <w:end w:w="120" w:type="dxa"/>
            </w:tcMar>
            <w:shd w:fill="FFFFFF"/>
          </w:tcPr>
          <w:p>
            <w:pPr>
              <w:spacing w:after="0"/>
            </w:pPr>
            <w:r>
              <w:rPr>
                <w:rFonts w:ascii="Calibri" w:hAnsi="Calibri"/>
                <w:b w:val="0"/>
                <w:color w:val="243447"/>
                <w:sz w:val="19"/>
              </w:rPr>
              <w:t>Teams manage comments, corrections, deadlines, review status, inspections, and closeout.</w:t>
            </w:r>
          </w:p>
        </w:tc>
      </w:tr>
      <w:tr>
        <w:tc>
          <w:tcPr>
            <w:tcW w:type="dxa" w:w="1150"/>
            <w:tcMar>
              <w:top w:w="80" w:type="dxa"/>
              <w:start w:w="120" w:type="dxa"/>
              <w:bottom w:w="80" w:type="dxa"/>
              <w:end w:w="120" w:type="dxa"/>
            </w:tcMar>
            <w:shd w:fill="F4F7FA"/>
          </w:tcPr>
          <w:p>
            <w:pPr>
              <w:spacing w:after="0"/>
            </w:pPr>
            <w:r>
              <w:rPr>
                <w:rFonts w:ascii="Calibri" w:hAnsi="Calibri"/>
                <w:b/>
                <w:color w:val="243447"/>
                <w:sz w:val="19"/>
              </w:rPr>
              <w:t>5</w:t>
            </w:r>
          </w:p>
        </w:tc>
        <w:tc>
          <w:tcPr>
            <w:tcW w:type="dxa" w:w="2920"/>
            <w:tcMar>
              <w:top w:w="80" w:type="dxa"/>
              <w:start w:w="120" w:type="dxa"/>
              <w:bottom w:w="80" w:type="dxa"/>
              <w:end w:w="120" w:type="dxa"/>
            </w:tcMar>
            <w:shd w:fill="F4F7FA"/>
          </w:tcPr>
          <w:p>
            <w:pPr>
              <w:spacing w:after="0"/>
            </w:pPr>
            <w:r>
              <w:rPr>
                <w:rFonts w:ascii="Calibri" w:hAnsi="Calibri"/>
                <w:b w:val="0"/>
                <w:color w:val="243447"/>
                <w:sz w:val="19"/>
              </w:rPr>
              <w:t>Pilot and pitch readiness</w:t>
            </w:r>
          </w:p>
        </w:tc>
        <w:tc>
          <w:tcPr>
            <w:tcW w:type="dxa" w:w="5290"/>
            <w:tcMar>
              <w:top w:w="80" w:type="dxa"/>
              <w:start w:w="120" w:type="dxa"/>
              <w:bottom w:w="80" w:type="dxa"/>
              <w:end w:w="120" w:type="dxa"/>
            </w:tcMar>
            <w:shd w:fill="F4F7FA"/>
          </w:tcPr>
          <w:p>
            <w:pPr>
              <w:spacing w:after="0"/>
            </w:pPr>
            <w:r>
              <w:rPr>
                <w:rFonts w:ascii="Calibri" w:hAnsi="Calibri"/>
                <w:b w:val="0"/>
                <w:color w:val="243447"/>
                <w:sz w:val="19"/>
              </w:rPr>
              <w:t>The product is reliable, secure enough for pilots, measurable, and easy to demonstrate to firms.</w:t>
            </w:r>
          </w:p>
        </w:tc>
      </w:tr>
    </w:tbl>
    <w:p>
      <w:r>
        <w:br w:type="page"/>
      </w:r>
    </w:p>
    <w:p>
      <w:pPr>
        <w:pStyle w:val="Heading1"/>
      </w:pPr>
      <w:r>
        <w:rPr>
          <w:rFonts w:ascii="Calibri" w:hAnsi="Calibri"/>
          <w:color w:val="243447"/>
          <w:sz w:val="22"/>
        </w:rPr>
        <w:t>Permit-centered product workflow (required MVP behavior)</w:t>
      </w:r>
    </w:p>
    <w:p>
      <w:pPr/>
      <w:r>
        <w:rPr>
          <w:rFonts w:ascii="Calibri" w:hAnsi="Calibri"/>
          <w:b/>
          <w:color w:val="243447"/>
          <w:sz w:val="22"/>
        </w:rPr>
        <w:t xml:space="preserve">Core decision: </w:t>
      </w:r>
      <w:r>
        <w:rPr>
          <w:rFonts w:ascii="Calibri" w:hAnsi="Calibri"/>
          <w:color w:val="243447"/>
          <w:sz w:val="22"/>
        </w:rPr>
        <w:t>The city determines which permit catalog and local guidance are available. The project scope determines which permits from that catalog are likely required. EstatePermit must never assume that every permit available in a city is required for every project.</w:t>
      </w:r>
    </w:p>
    <w:p>
      <w:pPr>
        <w:pStyle w:val="Heading2"/>
      </w:pPr>
      <w:r>
        <w:rPr>
          <w:rFonts w:ascii="Calibri" w:hAnsi="Calibri"/>
          <w:color w:val="243447"/>
          <w:sz w:val="22"/>
        </w:rPr>
        <w:t>Kansas City example - how the selection actually works</w:t>
      </w:r>
    </w:p>
    <w:p>
      <w:pPr>
        <w:pStyle w:val="ListBullet"/>
      </w:pPr>
      <w:r>
        <w:rPr>
          <w:rFonts w:ascii="Calibri" w:hAnsi="Calibri"/>
          <w:color w:val="243447"/>
          <w:sz w:val="22"/>
        </w:rPr>
        <w:t>Kansas City, Missouri is selected and the validated Kansas City city pack becomes active. The pack may contain building, electrical, plumbing, mechanical, fire-related, zoning/development, infrastructure, and other project-dependent permit or approval records.</w:t>
      </w:r>
    </w:p>
    <w:p>
      <w:pPr>
        <w:pStyle w:val="ListBullet"/>
      </w:pPr>
      <w:r>
        <w:rPr>
          <w:rFonts w:ascii="Calibri" w:hAnsi="Calibri"/>
          <w:color w:val="243447"/>
          <w:sz w:val="22"/>
        </w:rPr>
        <w:t>EstatePermit does not store 'Kansas City always requires six permits.' It stores a full permit catalog, supported project types, applicability questions, exemptions, dependencies, requirements, workflow stages, and official sources.</w:t>
      </w:r>
    </w:p>
    <w:p>
      <w:pPr>
        <w:pStyle w:val="ListBullet"/>
      </w:pPr>
      <w:r>
        <w:rPr>
          <w:rFonts w:ascii="Calibri" w:hAnsi="Calibri"/>
          <w:color w:val="243447"/>
          <w:sz w:val="22"/>
        </w:rPr>
        <w:t>If a particular project produces six likely permits, the user sees six permit cards. Each card explains why the permit was suggested and begins as Likely, Required by confirmed facts, Needs Confirmation, Manually Added, Dismissed, or Not Applicable.</w:t>
      </w:r>
    </w:p>
    <w:p>
      <w:pPr>
        <w:pStyle w:val="ListBullet"/>
      </w:pPr>
      <w:r>
        <w:rPr>
          <w:rFonts w:ascii="Calibri" w:hAnsi="Calibri"/>
          <w:color w:val="243447"/>
          <w:sz w:val="22"/>
        </w:rPr>
        <w:t>The user or a qualified reviewer confirms the working permit set before EstatePermit treats those permits as the project's submission workload.</w:t>
      </w:r>
    </w:p>
    <w:p>
      <w:pPr/>
      <w:r>
        <w:rPr>
          <w:rFonts w:ascii="Calibri" w:hAnsi="Calibri"/>
          <w:b/>
          <w:color w:val="243447"/>
          <w:sz w:val="22"/>
        </w:rPr>
        <w:t xml:space="preserve">Kansas City source note: </w:t>
      </w:r>
      <w:r>
        <w:rPr>
          <w:rFonts w:ascii="Calibri" w:hAnsi="Calibri"/>
          <w:color w:val="243447"/>
          <w:sz w:val="22"/>
        </w:rPr>
        <w:t>Official Kansas City guidance identifies building permits and trade permits such as electrical, plumbing, and mechanical, while other approvals and sub-permits depend on the work. Therefore, six should be treated as an example project result, not a universal legal count.</w:t>
      </w:r>
    </w:p>
    <w:p>
      <w:pPr>
        <w:pStyle w:val="Heading2"/>
      </w:pPr>
      <w:r>
        <w:rPr>
          <w:rFonts w:ascii="Calibri" w:hAnsi="Calibri"/>
          <w:color w:val="243447"/>
          <w:sz w:val="22"/>
        </w:rPr>
        <w:t>The end-to-end project workflow</w:t>
      </w:r>
    </w:p>
    <w:p>
      <w:pPr>
        <w:pStyle w:val="ListNumber"/>
      </w:pPr>
      <w:r>
        <w:rPr>
          <w:rFonts w:ascii="Calibri" w:hAnsi="Calibri"/>
          <w:color w:val="243447"/>
          <w:sz w:val="22"/>
        </w:rPr>
        <w:t>Create the project and confirm the address, city, jurisdiction, project type, trade, and work scope.</w:t>
      </w:r>
    </w:p>
    <w:p>
      <w:pPr>
        <w:pStyle w:val="ListNumber"/>
      </w:pPr>
      <w:r>
        <w:rPr>
          <w:rFonts w:ascii="Calibri" w:hAnsi="Calibri"/>
          <w:color w:val="243447"/>
          <w:sz w:val="22"/>
        </w:rPr>
        <w:t>Load the selected city's validated permit catalog, questions, requirements, sources, portal links, and workflow stages.</w:t>
      </w:r>
    </w:p>
    <w:p>
      <w:pPr>
        <w:pStyle w:val="ListNumber"/>
      </w:pPr>
      <w:r>
        <w:rPr>
          <w:rFonts w:ascii="Calibri" w:hAnsi="Calibri"/>
          <w:color w:val="243447"/>
          <w:sz w:val="22"/>
        </w:rPr>
        <w:t>Run permit discovery to produce a candidate permit set, with a reason and confidence/coverage label for each suggestion.</w:t>
      </w:r>
    </w:p>
    <w:p>
      <w:pPr>
        <w:pStyle w:val="ListNumber"/>
      </w:pPr>
      <w:r>
        <w:rPr>
          <w:rFonts w:ascii="Calibri" w:hAnsi="Calibri"/>
          <w:color w:val="243447"/>
          <w:sz w:val="22"/>
        </w:rPr>
        <w:t>Let the user confirm, dismiss, or manually add permits. A change to project facts can reopen discovery and show what changed.</w:t>
      </w:r>
    </w:p>
    <w:p>
      <w:pPr>
        <w:pStyle w:val="ListNumber"/>
      </w:pPr>
      <w:r>
        <w:rPr>
          <w:rFonts w:ascii="Calibri" w:hAnsi="Calibri"/>
          <w:color w:val="243447"/>
          <w:sz w:val="22"/>
        </w:rPr>
        <w:t>Create one permit workspace for every confirmed permit, while preserving a project-wide overview across all permits.</w:t>
      </w:r>
    </w:p>
    <w:p>
      <w:pPr>
        <w:pStyle w:val="ListNumber"/>
      </w:pPr>
      <w:r>
        <w:rPr>
          <w:rFonts w:ascii="Calibri" w:hAnsi="Calibri"/>
          <w:color w:val="243447"/>
          <w:sz w:val="22"/>
        </w:rPr>
        <w:t>Upload shared project documents or permit-specific documents and map each file to the requirements it satisfies.</w:t>
      </w:r>
    </w:p>
    <w:p>
      <w:pPr>
        <w:pStyle w:val="ListNumber"/>
      </w:pPr>
      <w:r>
        <w:rPr>
          <w:rFonts w:ascii="Calibri" w:hAnsi="Calibri"/>
          <w:color w:val="243447"/>
          <w:sz w:val="22"/>
        </w:rPr>
        <w:t>Run Review All Permits or Review This Permit. Apply only relevant checks and attach each finding to the project, permit, requirement, or document it affects.</w:t>
      </w:r>
    </w:p>
    <w:p>
      <w:pPr>
        <w:pStyle w:val="ListNumber"/>
      </w:pPr>
      <w:r>
        <w:rPr>
          <w:rFonts w:ascii="Calibri" w:hAnsi="Calibri"/>
          <w:color w:val="243447"/>
          <w:sz w:val="22"/>
        </w:rPr>
        <w:t>Resolve missing items, inconsistent facts, failed checks, and human-review items until every confirmed permit reaches Ready for Human Review.</w:t>
      </w:r>
    </w:p>
    <w:p>
      <w:pPr>
        <w:pStyle w:val="ListNumber"/>
      </w:pPr>
      <w:r>
        <w:rPr>
          <w:rFonts w:ascii="Calibri" w:hAnsi="Calibri"/>
          <w:color w:val="243447"/>
          <w:sz w:val="22"/>
        </w:rPr>
        <w:t>Require an explicit human sign-off, freeze a reviewed version, and generate the submission-readiness outputs.</w:t>
      </w:r>
    </w:p>
    <w:p>
      <w:pPr>
        <w:pStyle w:val="ListNumber"/>
      </w:pPr>
      <w:r>
        <w:rPr>
          <w:rFonts w:ascii="Calibri" w:hAnsi="Calibri"/>
          <w:color w:val="243447"/>
          <w:sz w:val="22"/>
        </w:rPr>
        <w:t>After the user submits through the official portal, record the application number and continue tracking review, corrections, issuance, inspections, and closeout.</w:t>
      </w:r>
    </w:p>
    <w:p>
      <w:pPr>
        <w:pStyle w:val="Heading2"/>
      </w:pPr>
      <w:r>
        <w:rPr>
          <w:rFonts w:ascii="Calibri" w:hAnsi="Calibri"/>
          <w:color w:val="243447"/>
          <w:sz w:val="22"/>
        </w:rPr>
        <w:t>Project navigation to implement</w:t>
      </w:r>
    </w:p>
    <w:p>
      <w:pPr/>
      <w:r>
        <w:rPr>
          <w:rFonts w:ascii="Calibri" w:hAnsi="Calibri"/>
          <w:b/>
          <w:color w:val="243447"/>
          <w:sz w:val="22"/>
        </w:rPr>
        <w:t xml:space="preserve">Overview: </w:t>
      </w:r>
      <w:r>
        <w:rPr>
          <w:rFonts w:ascii="Calibri" w:hAnsi="Calibri"/>
          <w:color w:val="243447"/>
          <w:sz w:val="22"/>
        </w:rPr>
        <w:t>Jurisdiction, project facts, overall readiness, confirmed and possible permits, blockers, deadlines, and the single most important next action.</w:t>
      </w:r>
    </w:p>
    <w:p>
      <w:pPr/>
      <w:r>
        <w:rPr>
          <w:rFonts w:ascii="Calibri" w:hAnsi="Calibri"/>
          <w:b/>
          <w:color w:val="243447"/>
          <w:sz w:val="22"/>
        </w:rPr>
        <w:t xml:space="preserve">Permits: </w:t>
      </w:r>
      <w:r>
        <w:rPr>
          <w:rFonts w:ascii="Calibri" w:hAnsi="Calibri"/>
          <w:color w:val="243447"/>
          <w:sz w:val="22"/>
        </w:rPr>
        <w:t>Cards for every candidate and confirmed permit, showing applicability status, readiness, blockers, lifecycle status, responsible person, and next action.</w:t>
      </w:r>
    </w:p>
    <w:p>
      <w:pPr/>
      <w:r>
        <w:rPr>
          <w:rFonts w:ascii="Calibri" w:hAnsi="Calibri"/>
          <w:b/>
          <w:color w:val="243447"/>
          <w:sz w:val="22"/>
        </w:rPr>
        <w:t xml:space="preserve">Documents: </w:t>
      </w:r>
      <w:r>
        <w:rPr>
          <w:rFonts w:ascii="Calibri" w:hAnsi="Calibri"/>
          <w:color w:val="243447"/>
          <w:sz w:val="22"/>
        </w:rPr>
        <w:t>One project library containing shared, unassigned, and permit-specific files. A file may satisfy requirements for multiple permits without being uploaded repeatedly.</w:t>
      </w:r>
    </w:p>
    <w:p>
      <w:pPr/>
      <w:r>
        <w:rPr>
          <w:rFonts w:ascii="Calibri" w:hAnsi="Calibri"/>
          <w:b/>
          <w:color w:val="243447"/>
          <w:sz w:val="22"/>
        </w:rPr>
        <w:t xml:space="preserve">Review: </w:t>
      </w:r>
      <w:r>
        <w:rPr>
          <w:rFonts w:ascii="Calibri" w:hAnsi="Calibri"/>
          <w:color w:val="243447"/>
          <w:sz w:val="22"/>
        </w:rPr>
        <w:t>One actionable findings queue across the project, filterable by permit, requirement, discipline, severity, status, and owner. Zoning, building, fire, site, and utilities are review disciplines, not competing top-level workflows.</w:t>
      </w:r>
    </w:p>
    <w:p>
      <w:pPr/>
      <w:r>
        <w:rPr>
          <w:rFonts w:ascii="Calibri" w:hAnsi="Calibri"/>
          <w:b/>
          <w:color w:val="243447"/>
          <w:sz w:val="22"/>
        </w:rPr>
        <w:t xml:space="preserve">Activity: </w:t>
      </w:r>
      <w:r>
        <w:rPr>
          <w:rFonts w:ascii="Calibri" w:hAnsi="Calibri"/>
          <w:color w:val="243447"/>
          <w:sz w:val="22"/>
        </w:rPr>
        <w:t>Comments, tasks, decisions, review runs, submission events, corrections, inspections, and status changes in chronological order.</w:t>
      </w:r>
    </w:p>
    <w:p>
      <w:pPr>
        <w:pStyle w:val="Heading2"/>
      </w:pPr>
      <w:r>
        <w:rPr>
          <w:rFonts w:ascii="Calibri" w:hAnsi="Calibri"/>
          <w:color w:val="243447"/>
          <w:sz w:val="22"/>
        </w:rPr>
        <w:t>Inside each permit</w:t>
      </w:r>
    </w:p>
    <w:p>
      <w:pPr>
        <w:pStyle w:val="ListBullet"/>
      </w:pPr>
      <w:r>
        <w:rPr>
          <w:rFonts w:ascii="Calibri" w:hAnsi="Calibri"/>
          <w:color w:val="243447"/>
          <w:sz w:val="22"/>
        </w:rPr>
        <w:t>Summary: why it is needed, authority, source, submission route, status, readiness, owner, and next action.</w:t>
      </w:r>
    </w:p>
    <w:p>
      <w:pPr>
        <w:pStyle w:val="ListBullet"/>
      </w:pPr>
      <w:r>
        <w:rPr>
          <w:rFonts w:ascii="Calibri" w:hAnsi="Calibri"/>
          <w:color w:val="243447"/>
          <w:sz w:val="22"/>
        </w:rPr>
        <w:t>Requirements: forms, drawings, calculations, licenses, supporting records, prerequisites, fees, and other required items.</w:t>
      </w:r>
    </w:p>
    <w:p>
      <w:pPr>
        <w:pStyle w:val="ListBullet"/>
      </w:pPr>
      <w:r>
        <w:rPr>
          <w:rFonts w:ascii="Calibri" w:hAnsi="Calibri"/>
          <w:color w:val="243447"/>
          <w:sz w:val="22"/>
        </w:rPr>
        <w:t>Documents: files satisfying those requirements, including versions, review state, and shared-document links.</w:t>
      </w:r>
    </w:p>
    <w:p>
      <w:pPr>
        <w:pStyle w:val="ListBullet"/>
      </w:pPr>
      <w:r>
        <w:rPr>
          <w:rFonts w:ascii="Calibri" w:hAnsi="Calibri"/>
          <w:color w:val="243447"/>
          <w:sz w:val="22"/>
        </w:rPr>
        <w:t>Review findings: blockers, warnings, passed checks, not-applicable checks, source explanations, and required human decisions.</w:t>
      </w:r>
    </w:p>
    <w:p>
      <w:pPr>
        <w:pStyle w:val="ListBullet"/>
      </w:pPr>
      <w:r>
        <w:rPr>
          <w:rFonts w:ascii="Calibri" w:hAnsi="Calibri"/>
          <w:color w:val="243447"/>
          <w:sz w:val="22"/>
        </w:rPr>
        <w:t>Timeline and inspections: submission, reference number, corrections, resubmissions, issuance, scheduled inspections, results, reinspections, and closeout.</w:t>
      </w:r>
    </w:p>
    <w:p>
      <w:pPr>
        <w:pStyle w:val="Heading2"/>
      </w:pPr>
      <w:r>
        <w:rPr>
          <w:rFonts w:ascii="Calibri" w:hAnsi="Calibri"/>
          <w:color w:val="243447"/>
          <w:sz w:val="22"/>
        </w:rPr>
        <w:t>What happens when everything passes</w:t>
      </w:r>
    </w:p>
    <w:p>
      <w:pPr>
        <w:pStyle w:val="ListBullet"/>
      </w:pPr>
      <w:r>
        <w:rPr>
          <w:rFonts w:ascii="Calibri" w:hAnsi="Calibri"/>
          <w:color w:val="243447"/>
          <w:sz w:val="22"/>
        </w:rPr>
        <w:t>EstatePermit changes each confirmed permit to Ready for Human Review, not automatically to Submitted or Approved.</w:t>
      </w:r>
    </w:p>
    <w:p>
      <w:pPr>
        <w:pStyle w:val="ListBullet"/>
      </w:pPr>
      <w:r>
        <w:rPr>
          <w:rFonts w:ascii="Calibri" w:hAnsi="Calibri"/>
          <w:color w:val="243447"/>
          <w:sz w:val="22"/>
        </w:rPr>
        <w:t>A reviewer checks the suggested permit set, critical project facts, satisfied requirements, unresolved warnings, and document versions, then selects Approve as Ready for Submission or Return for Changes.</w:t>
      </w:r>
    </w:p>
    <w:p>
      <w:pPr>
        <w:pStyle w:val="ListBullet"/>
      </w:pPr>
      <w:r>
        <w:rPr>
          <w:rFonts w:ascii="Calibri" w:hAnsi="Calibri"/>
          <w:color w:val="243447"/>
          <w:sz w:val="22"/>
        </w:rPr>
        <w:t>Approval creates a dated review snapshot so later file or fact changes do not silently alter the package that was approved.</w:t>
      </w:r>
    </w:p>
    <w:p>
      <w:pPr>
        <w:pStyle w:val="ListBullet"/>
      </w:pPr>
      <w:r>
        <w:rPr>
          <w:rFonts w:ascii="Calibri" w:hAnsi="Calibri"/>
          <w:color w:val="243447"/>
          <w:sz w:val="22"/>
        </w:rPr>
        <w:t>EstatePermit generates both project-wide and per-permit outputs, then provides the official portal link and a submission handoff checklist. The MVP does not file, sign, or pay automatically.</w:t>
      </w:r>
    </w:p>
    <w:p>
      <w:pPr>
        <w:pStyle w:val="Heading2"/>
      </w:pPr>
      <w:r>
        <w:rPr>
          <w:rFonts w:ascii="Calibri" w:hAnsi="Calibri"/>
          <w:color w:val="243447"/>
          <w:sz w:val="22"/>
        </w:rPr>
        <w:t>Final MVP output - the Submission Readiness Package</w:t>
      </w:r>
    </w:p>
    <w:p>
      <w:pPr>
        <w:pStyle w:val="ListBullet"/>
      </w:pPr>
      <w:r>
        <w:rPr>
          <w:rFonts w:ascii="Calibri" w:hAnsi="Calibri"/>
          <w:color w:val="243447"/>
          <w:sz w:val="22"/>
        </w:rPr>
        <w:t>On-screen readiness decision: Ready for Human Review, Ready for Submission, or Blocked, with the precise reason.</w:t>
      </w:r>
    </w:p>
    <w:p>
      <w:pPr>
        <w:pStyle w:val="ListBullet"/>
      </w:pPr>
      <w:r>
        <w:rPr>
          <w:rFonts w:ascii="Calibri" w:hAnsi="Calibri"/>
          <w:color w:val="243447"/>
          <w:sz w:val="22"/>
        </w:rPr>
        <w:t>Project cover summary: jurisdiction, address, project facts, scope, contractor/applicant information, and reviewed version/date.</w:t>
      </w:r>
    </w:p>
    <w:p>
      <w:pPr>
        <w:pStyle w:val="ListBullet"/>
      </w:pPr>
      <w:r>
        <w:rPr>
          <w:rFonts w:ascii="Calibri" w:hAnsi="Calibri"/>
          <w:color w:val="243447"/>
          <w:sz w:val="22"/>
        </w:rPr>
        <w:t>Confirmed permit register: each permit, why it applies, status, department, official source, dependency, and next action.</w:t>
      </w:r>
    </w:p>
    <w:p>
      <w:pPr>
        <w:pStyle w:val="ListBullet"/>
      </w:pPr>
      <w:r>
        <w:rPr>
          <w:rFonts w:ascii="Calibri" w:hAnsi="Calibri"/>
          <w:color w:val="243447"/>
          <w:sz w:val="22"/>
        </w:rPr>
        <w:t>Per-permit requirement checklist: every required item and whether it is satisfied, not applicable, blocked, or awaiting human confirmation.</w:t>
      </w:r>
    </w:p>
    <w:p>
      <w:pPr>
        <w:pStyle w:val="ListBullet"/>
      </w:pPr>
      <w:r>
        <w:rPr>
          <w:rFonts w:ascii="Calibri" w:hAnsi="Calibri"/>
          <w:color w:val="243447"/>
          <w:sz w:val="22"/>
        </w:rPr>
        <w:t>Document index and organized file bundle: shared documents plus folders for each permit, with duplicate uploads avoided.</w:t>
      </w:r>
    </w:p>
    <w:p>
      <w:pPr>
        <w:pStyle w:val="ListBullet"/>
      </w:pPr>
      <w:r>
        <w:rPr>
          <w:rFonts w:ascii="Calibri" w:hAnsi="Calibri"/>
          <w:color w:val="243447"/>
          <w:sz w:val="22"/>
        </w:rPr>
        <w:t>Findings and exception report: unresolved warnings, accepted exceptions, reviewer decisions, and source-backed explanations.</w:t>
      </w:r>
    </w:p>
    <w:p>
      <w:pPr>
        <w:pStyle w:val="ListBullet"/>
      </w:pPr>
      <w:r>
        <w:rPr>
          <w:rFonts w:ascii="Calibri" w:hAnsi="Calibri"/>
          <w:color w:val="243447"/>
          <w:sz w:val="22"/>
        </w:rPr>
        <w:t>Submission handoff sheet: official portal link, filing sequence, fee/timeline notes where validated, applicant responsibilities, and fields for the application/reference numbers.</w:t>
      </w:r>
    </w:p>
    <w:p>
      <w:pPr>
        <w:pStyle w:val="ListBullet"/>
      </w:pPr>
      <w:r>
        <w:rPr>
          <w:rFonts w:ascii="Calibri" w:hAnsi="Calibri"/>
          <w:color w:val="243447"/>
          <w:sz w:val="22"/>
        </w:rPr>
        <w:t>Downloadable readiness PDF and ZIP package, plus the live EstatePermit workspace that continues after submission.</w:t>
      </w:r>
    </w:p>
    <w:p>
      <w:pPr>
        <w:pStyle w:val="Heading2"/>
      </w:pPr>
      <w:r>
        <w:rPr>
          <w:rFonts w:ascii="Calibri" w:hAnsi="Calibri"/>
          <w:color w:val="243447"/>
          <w:sz w:val="22"/>
        </w:rPr>
        <w:t>Lifecycle after the package is produced</w:t>
      </w:r>
    </w:p>
    <w:p>
      <w:pPr>
        <w:pStyle w:val="ListBullet"/>
      </w:pPr>
      <w:r>
        <w:rPr>
          <w:rFonts w:ascii="Calibri" w:hAnsi="Calibri"/>
          <w:color w:val="243447"/>
          <w:sz w:val="22"/>
        </w:rPr>
        <w:t>Draft</w:t>
      </w:r>
    </w:p>
    <w:p>
      <w:pPr>
        <w:pStyle w:val="ListBullet"/>
      </w:pPr>
      <w:r>
        <w:rPr>
          <w:rFonts w:ascii="Calibri" w:hAnsi="Calibri"/>
          <w:color w:val="243447"/>
          <w:sz w:val="22"/>
        </w:rPr>
        <w:t>Permit Discovery Complete</w:t>
      </w:r>
    </w:p>
    <w:p>
      <w:pPr>
        <w:pStyle w:val="ListBullet"/>
      </w:pPr>
      <w:r>
        <w:rPr>
          <w:rFonts w:ascii="Calibri" w:hAnsi="Calibri"/>
          <w:color w:val="243447"/>
          <w:sz w:val="22"/>
        </w:rPr>
        <w:t>Requirements In Progress</w:t>
      </w:r>
    </w:p>
    <w:p>
      <w:pPr>
        <w:pStyle w:val="ListBullet"/>
      </w:pPr>
      <w:r>
        <w:rPr>
          <w:rFonts w:ascii="Calibri" w:hAnsi="Calibri"/>
          <w:color w:val="243447"/>
          <w:sz w:val="22"/>
        </w:rPr>
        <w:t>Blocked</w:t>
      </w:r>
    </w:p>
    <w:p>
      <w:pPr>
        <w:pStyle w:val="ListBullet"/>
      </w:pPr>
      <w:r>
        <w:rPr>
          <w:rFonts w:ascii="Calibri" w:hAnsi="Calibri"/>
          <w:color w:val="243447"/>
          <w:sz w:val="22"/>
        </w:rPr>
        <w:t>Ready for Human Review</w:t>
      </w:r>
    </w:p>
    <w:p>
      <w:pPr>
        <w:pStyle w:val="ListBullet"/>
      </w:pPr>
      <w:r>
        <w:rPr>
          <w:rFonts w:ascii="Calibri" w:hAnsi="Calibri"/>
          <w:color w:val="243447"/>
          <w:sz w:val="22"/>
        </w:rPr>
        <w:t>Ready for Submission</w:t>
      </w:r>
    </w:p>
    <w:p>
      <w:pPr>
        <w:pStyle w:val="ListBullet"/>
      </w:pPr>
      <w:r>
        <w:rPr>
          <w:rFonts w:ascii="Calibri" w:hAnsi="Calibri"/>
          <w:color w:val="243447"/>
          <w:sz w:val="22"/>
        </w:rPr>
        <w:t>Submitted</w:t>
      </w:r>
    </w:p>
    <w:p>
      <w:pPr>
        <w:pStyle w:val="ListBullet"/>
      </w:pPr>
      <w:r>
        <w:rPr>
          <w:rFonts w:ascii="Calibri" w:hAnsi="Calibri"/>
          <w:color w:val="243447"/>
          <w:sz w:val="22"/>
        </w:rPr>
        <w:t>In Review</w:t>
      </w:r>
    </w:p>
    <w:p>
      <w:pPr>
        <w:pStyle w:val="ListBullet"/>
      </w:pPr>
      <w:r>
        <w:rPr>
          <w:rFonts w:ascii="Calibri" w:hAnsi="Calibri"/>
          <w:color w:val="243447"/>
          <w:sz w:val="22"/>
        </w:rPr>
        <w:t>Corrections Required</w:t>
      </w:r>
    </w:p>
    <w:p>
      <w:pPr>
        <w:pStyle w:val="ListBullet"/>
      </w:pPr>
      <w:r>
        <w:rPr>
          <w:rFonts w:ascii="Calibri" w:hAnsi="Calibri"/>
          <w:color w:val="243447"/>
          <w:sz w:val="22"/>
        </w:rPr>
        <w:t>Resubmitted</w:t>
      </w:r>
    </w:p>
    <w:p>
      <w:pPr>
        <w:pStyle w:val="ListBullet"/>
      </w:pPr>
      <w:r>
        <w:rPr>
          <w:rFonts w:ascii="Calibri" w:hAnsi="Calibri"/>
          <w:color w:val="243447"/>
          <w:sz w:val="22"/>
        </w:rPr>
        <w:t>Approved / Issued</w:t>
      </w:r>
    </w:p>
    <w:p>
      <w:pPr>
        <w:pStyle w:val="ListBullet"/>
      </w:pPr>
      <w:r>
        <w:rPr>
          <w:rFonts w:ascii="Calibri" w:hAnsi="Calibri"/>
          <w:color w:val="243447"/>
          <w:sz w:val="22"/>
        </w:rPr>
        <w:t>Inspections</w:t>
      </w:r>
    </w:p>
    <w:p>
      <w:pPr>
        <w:pStyle w:val="ListBullet"/>
      </w:pPr>
      <w:r>
        <w:rPr>
          <w:rFonts w:ascii="Calibri" w:hAnsi="Calibri"/>
          <w:color w:val="243447"/>
          <w:sz w:val="22"/>
        </w:rPr>
        <w:t>Closed</w:t>
      </w:r>
    </w:p>
    <w:p>
      <w:pPr>
        <w:pStyle w:val="ListBullet"/>
      </w:pPr>
      <w:r>
        <w:rPr>
          <w:rFonts w:ascii="Calibri" w:hAnsi="Calibri"/>
          <w:color w:val="243447"/>
          <w:sz w:val="22"/>
        </w:rPr>
        <w:t>Cancelled</w:t>
      </w:r>
    </w:p>
    <w:p>
      <w:pPr>
        <w:pStyle w:val="Heading2"/>
      </w:pPr>
      <w:r>
        <w:rPr>
          <w:rFonts w:ascii="Calibri" w:hAnsi="Calibri"/>
          <w:color w:val="243447"/>
          <w:sz w:val="22"/>
        </w:rPr>
        <w:t>Official Kansas City sources used for this product decision</w:t>
      </w:r>
    </w:p>
    <w:p>
      <w:pPr>
        <w:pStyle w:val="ListBullet"/>
      </w:pPr>
      <w:r>
        <w:rPr>
          <w:rFonts w:ascii="Calibri" w:hAnsi="Calibri"/>
          <w:color w:val="243447"/>
          <w:sz w:val="22"/>
        </w:rPr>
        <w:t>Kansas City Permits Division: https://www.kcmo.gov/city-hall/departments/city-planning-development/permits-division/</w:t>
      </w:r>
    </w:p>
    <w:p>
      <w:pPr>
        <w:pStyle w:val="ListBullet"/>
      </w:pPr>
      <w:r>
        <w:rPr>
          <w:rFonts w:ascii="Calibri" w:hAnsi="Calibri"/>
          <w:color w:val="243447"/>
          <w:sz w:val="22"/>
        </w:rPr>
        <w:t>Electrical, Plumbing and Mechanical Permits: https://www.kcmo.gov/city-hall/departments/city-planning-development/electrical-plumbing-and-mechanical-permits</w:t>
      </w:r>
    </w:p>
    <w:p>
      <w:pPr>
        <w:pStyle w:val="ListBullet"/>
      </w:pPr>
      <w:r>
        <w:rPr>
          <w:rFonts w:ascii="Calibri" w:hAnsi="Calibri"/>
          <w:color w:val="243447"/>
          <w:sz w:val="22"/>
        </w:rPr>
        <w:t>Kansas City Development Process Guide: https://www.kcmo.gov/city-hall/departments/city-planning-development/development-management/development-guide</w:t>
      </w:r>
    </w:p>
    <w:p>
      <w:pPr>
        <w:pStyle w:val="Heading1"/>
        <w:keepNext/>
        <w:pageBreakBefore/>
      </w:pPr>
      <w:r>
        <w:rPr>
          <w:rFonts w:ascii="Calibri" w:hAnsi="Calibri"/>
          <w:b/>
          <w:color w:val="2E74B5"/>
          <w:sz w:val="32"/>
        </w:rPr>
        <w:t>STEP 1  |  BUILD THE UNIVERSAL PROJECT FOUNDATION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1F4D78"/>
                <w:sz w:val="21"/>
              </w:rPr>
              <w:t xml:space="preserve">Outcome: </w:t>
            </w:r>
            <w:r>
              <w:rPr>
                <w:rFonts w:ascii="Calibri" w:hAnsi="Calibri"/>
                <w:color w:val="243447"/>
                <w:sz w:val="21"/>
              </w:rPr>
              <w:t>EstatePermit works as a multi-city product from the first screen. Kansas City is selected, not assumed.</w:t>
            </w:r>
          </w:p>
        </w:tc>
      </w:tr>
    </w:tbl>
    <w:p>
      <w:pPr>
        <w:spacing w:after="0"/>
      </w:pPr>
    </w:p>
    <w:p>
      <w:pPr>
        <w:pStyle w:val="Heading2"/>
        <w:keepNext/>
      </w:pPr>
      <w:r>
        <w:t>What we implement</w:t>
      </w:r>
    </w:p>
    <w:p>
      <w:pPr>
        <w:pStyle w:val="ListBullet"/>
        <w:spacing w:after="80" w:line="300" w:lineRule="auto"/>
      </w:pPr>
      <w:r>
        <w:rPr>
          <w:rFonts w:ascii="Calibri" w:hAnsi="Calibri"/>
          <w:color w:val="243447"/>
          <w:sz w:val="22"/>
        </w:rPr>
        <w:t>Company accounts and user sign-in, with simple roles for owner/admin, project manager, and collaborator.</w:t>
      </w:r>
    </w:p>
    <w:p>
      <w:pPr>
        <w:pStyle w:val="ListBullet"/>
        <w:spacing w:after="80" w:line="300" w:lineRule="auto"/>
      </w:pPr>
      <w:r>
        <w:rPr>
          <w:rFonts w:ascii="Calibri" w:hAnsi="Calibri"/>
          <w:color w:val="243447"/>
          <w:sz w:val="22"/>
        </w:rPr>
        <w:t>A portfolio dashboard showing all projects, city, trade, current stage, readiness, next action, and overdue items.</w:t>
      </w:r>
    </w:p>
    <w:p>
      <w:pPr>
        <w:pStyle w:val="ListBullet"/>
        <w:spacing w:after="80" w:line="300" w:lineRule="auto"/>
      </w:pPr>
      <w:r>
        <w:rPr>
          <w:rFonts w:ascii="Calibri" w:hAnsi="Calibri"/>
          <w:color w:val="243447"/>
          <w:sz w:val="22"/>
        </w:rPr>
        <w:t>Project creation with address, city, state, jurisdiction, project name, customer/site details, project type, trade, work description, estimated value, and target dates.</w:t>
      </w:r>
    </w:p>
    <w:p>
      <w:pPr>
        <w:pStyle w:val="ListBullet"/>
        <w:spacing w:after="80" w:line="300" w:lineRule="auto"/>
      </w:pPr>
      <w:r>
        <w:rPr>
          <w:rFonts w:ascii="Calibri" w:hAnsi="Calibri"/>
          <w:color w:val="243447"/>
          <w:sz w:val="22"/>
        </w:rPr>
        <w:t>A city and jurisdiction selector that can distinguish city limits from the broader metro area. For example, Kansas City, Missouri is not treated as Kansas City, Kansas.</w:t>
      </w:r>
    </w:p>
    <w:p>
      <w:pPr>
        <w:pStyle w:val="ListBullet"/>
        <w:spacing w:after="80" w:line="300" w:lineRule="auto"/>
      </w:pPr>
      <w:r>
        <w:rPr>
          <w:rFonts w:ascii="Calibri" w:hAnsi="Calibri"/>
          <w:color w:val="243447"/>
          <w:sz w:val="22"/>
        </w:rPr>
        <w:t>Trade and work-type selection using reusable categories such as general building, mechanical/HVAC, plumbing, electrical, fire protection, roofing, and other.</w:t>
      </w:r>
    </w:p>
    <w:p>
      <w:pPr>
        <w:pStyle w:val="ListBullet"/>
        <w:spacing w:after="80" w:line="300" w:lineRule="auto"/>
      </w:pPr>
      <w:r>
        <w:rPr>
          <w:rFonts w:ascii="Calibri" w:hAnsi="Calibri"/>
          <w:color w:val="243447"/>
          <w:sz w:val="22"/>
        </w:rPr>
        <w:t>A coverage label for every project: Validated, Pilot, Basic Workspace, or Not Yet Supported. The app never presents unvalidated local guidance as authoritative.</w:t>
      </w:r>
    </w:p>
    <w:p>
      <w:pPr>
        <w:pStyle w:val="ListBullet"/>
        <w:spacing w:after="80" w:line="300" w:lineRule="auto"/>
      </w:pPr>
      <w:r>
        <w:rPr>
          <w:rFonts w:ascii="Calibri" w:hAnsi="Calibri"/>
          <w:color w:val="243447"/>
          <w:sz w:val="22"/>
        </w:rPr>
        <w:t>A reusable project workspace with Overview, Permits, Documents, Review, and Activity as the primary sections. Requirements, findings, submission history, and inspections live inside the relevant permit; project-wide views aggregate them when useful.</w:t>
      </w:r>
    </w:p>
    <w:p>
      <w:pPr>
        <w:pStyle w:val="ListBullet"/>
        <w:spacing w:after="80" w:line="300" w:lineRule="auto"/>
      </w:pPr>
      <w:r>
        <w:rPr>
          <w:rFonts w:ascii="Calibri" w:hAnsi="Calibri"/>
          <w:color w:val="243447"/>
          <w:sz w:val="22"/>
        </w:rPr>
        <w:t>A request-city-support action so an unsupported-city user can submit the city, trade, and project type they need.</w:t>
      </w:r>
    </w:p>
    <w:p>
      <w:pPr>
        <w:pStyle w:val="Heading2"/>
        <w:keepNext/>
      </w:pPr>
      <w:r>
        <w:t>What the user experiences</w:t>
      </w:r>
    </w:p>
    <w:p>
      <w:pPr>
        <w:pStyle w:val="ListNumber"/>
        <w:spacing w:after="80" w:line="300" w:lineRule="auto"/>
      </w:pPr>
      <w:r>
        <w:rPr>
          <w:rFonts w:ascii="Calibri" w:hAnsi="Calibri"/>
          <w:color w:val="243447"/>
          <w:sz w:val="22"/>
        </w:rPr>
        <w:t>Choose or create a company workspace.</w:t>
      </w:r>
    </w:p>
    <w:p>
      <w:pPr>
        <w:pStyle w:val="ListNumber"/>
        <w:spacing w:after="80" w:line="300" w:lineRule="auto"/>
      </w:pPr>
      <w:r>
        <w:rPr>
          <w:rFonts w:ascii="Calibri" w:hAnsi="Calibri"/>
          <w:color w:val="243447"/>
          <w:sz w:val="22"/>
        </w:rPr>
        <w:t>Create a project and enter the project address.</w:t>
      </w:r>
    </w:p>
    <w:p>
      <w:pPr>
        <w:pStyle w:val="ListNumber"/>
        <w:spacing w:after="80" w:line="300" w:lineRule="auto"/>
      </w:pPr>
      <w:r>
        <w:rPr>
          <w:rFonts w:ascii="Calibri" w:hAnsi="Calibri"/>
          <w:color w:val="243447"/>
          <w:sz w:val="22"/>
        </w:rPr>
        <w:t>Confirm the city and permitting jurisdiction suggested by EstatePermit.</w:t>
      </w:r>
    </w:p>
    <w:p>
      <w:pPr>
        <w:pStyle w:val="ListNumber"/>
        <w:spacing w:after="80" w:line="300" w:lineRule="auto"/>
      </w:pPr>
      <w:r>
        <w:rPr>
          <w:rFonts w:ascii="Calibri" w:hAnsi="Calibri"/>
          <w:color w:val="243447"/>
          <w:sz w:val="22"/>
        </w:rPr>
        <w:t>Select the trade and describe the work.</w:t>
      </w:r>
    </w:p>
    <w:p>
      <w:pPr>
        <w:pStyle w:val="ListNumber"/>
        <w:spacing w:after="80" w:line="300" w:lineRule="auto"/>
      </w:pPr>
      <w:r>
        <w:rPr>
          <w:rFonts w:ascii="Calibri" w:hAnsi="Calibri"/>
          <w:color w:val="243447"/>
          <w:sz w:val="22"/>
        </w:rPr>
        <w:t>Enter a consistent project workspace; supported cities activate local guidance, while unsupported cities remain usable as general tracking workspaces.</w:t>
      </w:r>
    </w:p>
    <w:p>
      <w:pPr>
        <w:pStyle w:val="Heading2"/>
        <w:keepNext/>
      </w:pPr>
      <w:r>
        <w:t>Completion gate</w:t>
      </w:r>
    </w:p>
    <w:p>
      <w:pPr>
        <w:pStyle w:val="ListBullet"/>
        <w:spacing w:after="80" w:line="300" w:lineRule="auto"/>
      </w:pPr>
      <w:r>
        <w:rPr>
          <w:rFonts w:ascii="Calibri" w:hAnsi="Calibri"/>
          <w:color w:val="243447"/>
          <w:sz w:val="22"/>
        </w:rPr>
        <w:t>A user can create and reopen projects in Kansas City, Missouri and at least two non-Kansas-City locations without any city being hard-coded.</w:t>
      </w:r>
    </w:p>
    <w:p>
      <w:pPr>
        <w:pStyle w:val="ListBullet"/>
        <w:spacing w:after="80" w:line="300" w:lineRule="auto"/>
      </w:pPr>
      <w:r>
        <w:rPr>
          <w:rFonts w:ascii="Calibri" w:hAnsi="Calibri"/>
          <w:color w:val="243447"/>
          <w:sz w:val="22"/>
        </w:rPr>
        <w:t>City, jurisdiction, trade, and project facts remain attached to the project and drive all later recommendations.</w:t>
      </w:r>
    </w:p>
    <w:p>
      <w:pPr>
        <w:pStyle w:val="ListBullet"/>
        <w:spacing w:after="80" w:line="300" w:lineRule="auto"/>
      </w:pPr>
      <w:r>
        <w:rPr>
          <w:rFonts w:ascii="Calibri" w:hAnsi="Calibri"/>
          <w:color w:val="243447"/>
          <w:sz w:val="22"/>
        </w:rPr>
        <w:t>The interface clearly differentiates validated local guidance from a generic workspace.</w:t>
      </w:r>
    </w:p>
    <w:p>
      <w:pPr>
        <w:pStyle w:val="ListBullet"/>
        <w:spacing w:after="80" w:line="300" w:lineRule="auto"/>
      </w:pPr>
      <w:r>
        <w:rPr>
          <w:rFonts w:ascii="Calibri" w:hAnsi="Calibri"/>
          <w:color w:val="243447"/>
          <w:sz w:val="22"/>
        </w:rPr>
        <w:t>The team can add a new city later without building a separate application or redesigning the project experience.</w:t>
      </w:r>
    </w:p>
    <w:p>
      <w:pPr>
        <w:pStyle w:val="Heading1"/>
        <w:keepNext/>
      </w:pPr>
      <w:r>
        <w:rPr>
          <w:rFonts w:ascii="Calibri" w:hAnsi="Calibri"/>
          <w:b/>
          <w:color w:val="2E74B5"/>
          <w:sz w:val="32"/>
        </w:rPr>
        <w:t>STEP 2  |  MAKE KANSAS CITY THE FIRST STRONG CITY PACK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1F4D78"/>
                <w:sz w:val="21"/>
              </w:rPr>
              <w:t xml:space="preserve">Outcome: </w:t>
            </w:r>
            <w:r>
              <w:rPr>
                <w:rFonts w:ascii="Calibri" w:hAnsi="Calibri"/>
                <w:color w:val="243447"/>
                <w:sz w:val="21"/>
              </w:rPr>
              <w:t>Kansas City projects receive credible, source-backed guidance that is strong enough for customer discovery and pilot use.</w:t>
            </w:r>
          </w:p>
        </w:tc>
      </w:tr>
    </w:tbl>
    <w:p>
      <w:pPr>
        <w:spacing w:after="0"/>
      </w:pPr>
    </w:p>
    <w:p>
      <w:pPr>
        <w:pStyle w:val="Heading2"/>
        <w:keepNext/>
      </w:pPr>
      <w:r>
        <w:t>What a city pack contains</w:t>
      </w:r>
    </w:p>
    <w:p>
      <w:pPr>
        <w:pStyle w:val="ListBullet"/>
        <w:spacing w:after="80" w:line="300" w:lineRule="auto"/>
      </w:pPr>
      <w:r>
        <w:rPr>
          <w:rFonts w:ascii="Calibri" w:hAnsi="Calibri"/>
          <w:color w:val="243447"/>
          <w:sz w:val="22"/>
        </w:rPr>
        <w:t>Jurisdiction identity, geographic scope, official department names, portal links, public contacts, office information, and source update dates.</w:t>
      </w:r>
    </w:p>
    <w:p>
      <w:pPr>
        <w:pStyle w:val="ListBullet"/>
        <w:spacing w:after="80" w:line="300" w:lineRule="auto"/>
      </w:pPr>
      <w:r>
        <w:rPr>
          <w:rFonts w:ascii="Calibri" w:hAnsi="Calibri"/>
          <w:color w:val="243447"/>
          <w:sz w:val="22"/>
        </w:rPr>
        <w:t>Permit catalog organized by project and trade: building, mechanical/HVAC, plumbing, electrical, fire protection, and other high-frequency Kansas City workflows selected from research and pilot demand.</w:t>
      </w:r>
    </w:p>
    <w:p>
      <w:pPr>
        <w:pStyle w:val="ListBullet"/>
        <w:spacing w:after="80" w:line="300" w:lineRule="auto"/>
      </w:pPr>
      <w:r>
        <w:rPr>
          <w:rFonts w:ascii="Calibri" w:hAnsi="Calibri"/>
          <w:color w:val="243447"/>
          <w:sz w:val="22"/>
        </w:rPr>
        <w:t>Applicability questions that help decide which permits may be required for a particular scope of work.</w:t>
      </w:r>
    </w:p>
    <w:p>
      <w:pPr>
        <w:pStyle w:val="ListBullet"/>
        <w:spacing w:after="80" w:line="300" w:lineRule="auto"/>
      </w:pPr>
      <w:r>
        <w:rPr>
          <w:rFonts w:ascii="Calibri" w:hAnsi="Calibri"/>
          <w:color w:val="243447"/>
          <w:sz w:val="22"/>
        </w:rPr>
        <w:t>Requirement checklists for each supported permit, including forms, drawings, calculations, contractor/license information, supporting documents, and known prerequisites.</w:t>
      </w:r>
    </w:p>
    <w:p>
      <w:pPr>
        <w:pStyle w:val="ListBullet"/>
        <w:spacing w:after="80" w:line="300" w:lineRule="auto"/>
      </w:pPr>
      <w:r>
        <w:rPr>
          <w:rFonts w:ascii="Calibri" w:hAnsi="Calibri"/>
          <w:color w:val="243447"/>
          <w:sz w:val="22"/>
        </w:rPr>
        <w:t>Known submission route, review stages, correction cycle, issuance stage, inspection types, closeout steps, and links to official instructions.</w:t>
      </w:r>
    </w:p>
    <w:p>
      <w:pPr>
        <w:pStyle w:val="ListBullet"/>
        <w:spacing w:after="80" w:line="300" w:lineRule="auto"/>
      </w:pPr>
      <w:r>
        <w:rPr>
          <w:rFonts w:ascii="Calibri" w:hAnsi="Calibri"/>
          <w:color w:val="243447"/>
          <w:sz w:val="22"/>
        </w:rPr>
        <w:t>Fees and timelines only where they can be sourced and kept current; uncertain or variable values are labeled instead of guessed.</w:t>
      </w:r>
    </w:p>
    <w:p>
      <w:pPr>
        <w:pStyle w:val="ListBullet"/>
        <w:spacing w:after="80" w:line="300" w:lineRule="auto"/>
      </w:pPr>
      <w:r>
        <w:rPr>
          <w:rFonts w:ascii="Calibri" w:hAnsi="Calibri"/>
          <w:color w:val="243447"/>
          <w:sz w:val="22"/>
        </w:rPr>
        <w:t>Trade-specific language and intake questions so an HVAC contractor is not forced through irrelevant plumbing or fire-protection questions.</w:t>
      </w:r>
    </w:p>
    <w:p>
      <w:pPr>
        <w:pStyle w:val="ListBullet"/>
        <w:spacing w:after="80" w:line="300" w:lineRule="auto"/>
      </w:pPr>
      <w:r>
        <w:rPr>
          <w:rFonts w:ascii="Calibri" w:hAnsi="Calibri"/>
          <w:color w:val="243447"/>
          <w:sz w:val="22"/>
        </w:rPr>
        <w:t>A source panel showing where each important requirement came from and when the source was last checked.</w:t>
      </w:r>
    </w:p>
    <w:p>
      <w:pPr>
        <w:pStyle w:val="ListBullet"/>
      </w:pPr>
      <w:r>
        <w:rPr>
          <w:rFonts w:ascii="Calibri" w:hAnsi="Calibri"/>
          <w:color w:val="243447"/>
          <w:sz w:val="22"/>
        </w:rPr>
        <w:t>Store a complete city permit catalog separately from project-type applicability. The catalog defines what is available; applicability logic and project facts determine what is suggested for a specific project.</w:t>
      </w:r>
    </w:p>
    <w:p>
      <w:pPr>
        <w:pStyle w:val="ListBullet"/>
      </w:pPr>
      <w:r>
        <w:rPr>
          <w:rFonts w:ascii="Calibri" w:hAnsi="Calibri"/>
          <w:color w:val="243447"/>
          <w:sz w:val="22"/>
        </w:rPr>
        <w:t>For each permit, store its official name, aliases, department, supported project types, applicability questions, exemptions, dependencies, requirements, review checks, submission route, lifecycle stages, inspections, sources, last-verified date, and coverage level.</w:t>
      </w:r>
    </w:p>
    <w:p>
      <w:pPr>
        <w:pStyle w:val="Heading2"/>
        <w:keepNext/>
      </w:pPr>
      <w:r>
        <w:t>How we make the pack trustworthy without having a large expert staff</w:t>
      </w:r>
    </w:p>
    <w:p>
      <w:pPr>
        <w:pStyle w:val="ListBullet"/>
        <w:spacing w:after="80" w:line="300" w:lineRule="auto"/>
      </w:pPr>
      <w:r>
        <w:rPr>
          <w:rFonts w:ascii="Calibri" w:hAnsi="Calibri"/>
          <w:color w:val="243447"/>
          <w:sz w:val="22"/>
        </w:rPr>
        <w:t>Start with official Kansas City sources, published forms, portal guidance, checklists, and public permit records.</w:t>
      </w:r>
    </w:p>
    <w:p>
      <w:pPr>
        <w:pStyle w:val="ListBullet"/>
        <w:spacing w:after="80" w:line="300" w:lineRule="auto"/>
      </w:pPr>
      <w:r>
        <w:rPr>
          <w:rFonts w:ascii="Calibri" w:hAnsi="Calibri"/>
          <w:color w:val="243447"/>
          <w:sz w:val="22"/>
        </w:rPr>
        <w:t>Convert each supported workflow into a small set of real project scenarios, not one giant theoretical rules list.</w:t>
      </w:r>
    </w:p>
    <w:p>
      <w:pPr>
        <w:pStyle w:val="ListBullet"/>
        <w:spacing w:after="80" w:line="300" w:lineRule="auto"/>
      </w:pPr>
      <w:r>
        <w:rPr>
          <w:rFonts w:ascii="Calibri" w:hAnsi="Calibri"/>
          <w:color w:val="243447"/>
          <w:sz w:val="22"/>
        </w:rPr>
        <w:t>Ask Kansas State professors, landscape/design professionals, contractors, permit expediters, and other field contacts to review specific workflows and flag mistakes.</w:t>
      </w:r>
    </w:p>
    <w:p>
      <w:pPr>
        <w:pStyle w:val="ListBullet"/>
        <w:spacing w:after="80" w:line="300" w:lineRule="auto"/>
      </w:pPr>
      <w:r>
        <w:rPr>
          <w:rFonts w:ascii="Calibri" w:hAnsi="Calibri"/>
          <w:color w:val="243447"/>
          <w:sz w:val="22"/>
        </w:rPr>
        <w:t>Record who reviewed each workflow, what changed, and when it must be rechecked.</w:t>
      </w:r>
    </w:p>
    <w:p>
      <w:pPr>
        <w:pStyle w:val="ListBullet"/>
        <w:spacing w:after="80" w:line="300" w:lineRule="auto"/>
      </w:pPr>
      <w:r>
        <w:rPr>
          <w:rFonts w:ascii="Calibri" w:hAnsi="Calibri"/>
          <w:color w:val="243447"/>
          <w:sz w:val="22"/>
        </w:rPr>
        <w:t>Publish a visible coverage level by trade. A fully reviewed mechanical workflow can be marked Validated while a newly added fire workflow remains Pilot.</w:t>
      </w:r>
    </w:p>
    <w:p>
      <w:pPr>
        <w:pStyle w:val="Heading2"/>
        <w:keepNext/>
      </w:pPr>
      <w:r>
        <w:t>Kansas City MVP coverage target</w:t>
      </w:r>
    </w:p>
    <w:p>
      <w:pPr>
        <w:spacing w:after="120" w:line="300" w:lineRule="auto"/>
      </w:pPr>
      <w:r>
        <w:rPr>
          <w:rFonts w:ascii="Calibri" w:hAnsi="Calibri"/>
          <w:b/>
          <w:color w:val="243447"/>
          <w:sz w:val="22"/>
        </w:rPr>
        <w:t xml:space="preserve">Deep support: </w:t>
      </w:r>
      <w:r>
        <w:rPr>
          <w:rFonts w:ascii="Calibri" w:hAnsi="Calibri"/>
          <w:color w:val="243447"/>
          <w:sz w:val="22"/>
        </w:rPr>
        <w:t>One high-frequency contractor workflow should be complete end to end and reviewed against real examples. Mechanical/HVAC is a reasonable first candidate, but the final choice should follow interviews and available expert access.</w:t>
      </w:r>
    </w:p>
    <w:p>
      <w:pPr>
        <w:spacing w:after="120" w:line="300" w:lineRule="auto"/>
      </w:pPr>
      <w:r>
        <w:rPr>
          <w:rFonts w:ascii="Calibri" w:hAnsi="Calibri"/>
          <w:b/>
          <w:color w:val="243447"/>
          <w:sz w:val="22"/>
        </w:rPr>
        <w:t xml:space="preserve">Useful breadth: </w:t>
      </w:r>
      <w:r>
        <w:rPr>
          <w:rFonts w:ascii="Calibri" w:hAnsi="Calibri"/>
          <w:color w:val="243447"/>
          <w:sz w:val="22"/>
        </w:rPr>
        <w:t>The project and permit model should accept building, plumbing, electrical, fire, roofing, and other work. For the pitch, include at least the common permit categories and intake paths, but clearly label the depth of each category.</w:t>
      </w:r>
    </w:p>
    <w:p>
      <w:pPr>
        <w:spacing w:after="120" w:line="300" w:lineRule="auto"/>
      </w:pPr>
      <w:r>
        <w:rPr>
          <w:rFonts w:ascii="Calibri" w:hAnsi="Calibri"/>
          <w:b/>
          <w:color w:val="243447"/>
          <w:sz w:val="22"/>
        </w:rPr>
        <w:t xml:space="preserve">Expansion rule: </w:t>
      </w:r>
      <w:r>
        <w:rPr>
          <w:rFonts w:ascii="Calibri" w:hAnsi="Calibri"/>
          <w:color w:val="243447"/>
          <w:sz w:val="22"/>
        </w:rPr>
        <w:t>A trade becomes 'Validated' only after its requirements, documents, process stages, and sample cases pass source review and domain review.</w:t>
      </w:r>
    </w:p>
    <w:p>
      <w:pPr>
        <w:pStyle w:val="Heading2"/>
        <w:keepNext/>
      </w:pPr>
      <w:r>
        <w:t>Completion gate</w:t>
      </w:r>
    </w:p>
    <w:p>
      <w:pPr>
        <w:pStyle w:val="ListBullet"/>
        <w:spacing w:after="80" w:line="300" w:lineRule="auto"/>
      </w:pPr>
      <w:r>
        <w:rPr>
          <w:rFonts w:ascii="Calibri" w:hAnsi="Calibri"/>
          <w:color w:val="243447"/>
          <w:sz w:val="22"/>
        </w:rPr>
        <w:t>The Kansas City pack covers the chosen deep workflow from intake through closeout, with official sources attached.</w:t>
      </w:r>
    </w:p>
    <w:p>
      <w:pPr>
        <w:pStyle w:val="ListBullet"/>
        <w:spacing w:after="80" w:line="300" w:lineRule="auto"/>
      </w:pPr>
      <w:r>
        <w:rPr>
          <w:rFonts w:ascii="Calibri" w:hAnsi="Calibri"/>
          <w:color w:val="243447"/>
          <w:sz w:val="22"/>
        </w:rPr>
        <w:t>At least 10 representative Kansas City project scenarios produce sensible permit and requirement results.</w:t>
      </w:r>
    </w:p>
    <w:p>
      <w:pPr>
        <w:pStyle w:val="ListBullet"/>
        <w:spacing w:after="80" w:line="300" w:lineRule="auto"/>
      </w:pPr>
      <w:r>
        <w:rPr>
          <w:rFonts w:ascii="Calibri" w:hAnsi="Calibri"/>
          <w:color w:val="243447"/>
          <w:sz w:val="22"/>
        </w:rPr>
        <w:t>At least two knowledgeable reviewers have tested or reviewed the strongest workflow, and their corrections are incorporated.</w:t>
      </w:r>
    </w:p>
    <w:p>
      <w:pPr>
        <w:pStyle w:val="ListBullet"/>
        <w:spacing w:after="80" w:line="300" w:lineRule="auto"/>
      </w:pPr>
      <w:r>
        <w:rPr>
          <w:rFonts w:ascii="Calibri" w:hAnsi="Calibri"/>
          <w:color w:val="243447"/>
          <w:sz w:val="22"/>
        </w:rPr>
        <w:t>Changing the selected city changes the active guidance; Kansas City rules do not leak into other-city projects.</w:t>
      </w:r>
    </w:p>
    <w:p>
      <w:pPr>
        <w:pStyle w:val="Heading1"/>
        <w:keepNext/>
      </w:pPr>
      <w:r>
        <w:rPr>
          <w:rFonts w:ascii="Calibri" w:hAnsi="Calibri"/>
          <w:b/>
          <w:color w:val="2E74B5"/>
          <w:sz w:val="32"/>
        </w:rPr>
        <w:t>STEP 3  |  BUILD THE PERMIT READINESS WORKSPACE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1F4D78"/>
                <w:sz w:val="21"/>
              </w:rPr>
              <w:t xml:space="preserve">Outcome: </w:t>
            </w:r>
            <w:r>
              <w:rPr>
                <w:rFonts w:ascii="Calibri" w:hAnsi="Calibri"/>
                <w:color w:val="243447"/>
                <w:sz w:val="21"/>
              </w:rPr>
              <w:t>A contractor can turn a work description and project documents into an organized, reviewable permit package.</w:t>
            </w:r>
          </w:p>
        </w:tc>
      </w:tr>
    </w:tbl>
    <w:p>
      <w:pPr>
        <w:spacing w:after="0"/>
      </w:pPr>
    </w:p>
    <w:p>
      <w:pPr>
        <w:pStyle w:val="Heading2"/>
        <w:keepNext/>
      </w:pPr>
      <w:r>
        <w:t>Guided project intake</w:t>
      </w:r>
    </w:p>
    <w:p>
      <w:pPr>
        <w:pStyle w:val="ListBullet"/>
        <w:spacing w:after="80" w:line="300" w:lineRule="auto"/>
      </w:pPr>
      <w:r>
        <w:rPr>
          <w:rFonts w:ascii="Calibri" w:hAnsi="Calibri"/>
          <w:color w:val="243447"/>
          <w:sz w:val="22"/>
        </w:rPr>
        <w:t>Ask only questions relevant to the selected city, project type, and trade.</w:t>
      </w:r>
    </w:p>
    <w:p>
      <w:pPr>
        <w:pStyle w:val="ListBullet"/>
        <w:spacing w:after="80" w:line="300" w:lineRule="auto"/>
      </w:pPr>
      <w:r>
        <w:rPr>
          <w:rFonts w:ascii="Calibri" w:hAnsi="Calibri"/>
          <w:color w:val="243447"/>
          <w:sz w:val="22"/>
        </w:rPr>
        <w:t>Save answers as project facts so the user does not repeatedly enter the same address, owner, contractor, valuation, and scope information.</w:t>
      </w:r>
    </w:p>
    <w:p>
      <w:pPr>
        <w:pStyle w:val="ListBullet"/>
        <w:spacing w:after="80" w:line="300" w:lineRule="auto"/>
      </w:pPr>
      <w:r>
        <w:rPr>
          <w:rFonts w:ascii="Calibri" w:hAnsi="Calibri"/>
          <w:color w:val="243447"/>
          <w:sz w:val="22"/>
        </w:rPr>
        <w:t>Allow users to edit facts and immediately see which permit recommendations or requirements changed.</w:t>
      </w:r>
    </w:p>
    <w:p>
      <w:pPr>
        <w:pStyle w:val="ListBullet"/>
        <w:spacing w:after="80" w:line="300" w:lineRule="auto"/>
      </w:pPr>
      <w:r>
        <w:rPr>
          <w:rFonts w:ascii="Calibri" w:hAnsi="Calibri"/>
          <w:color w:val="243447"/>
          <w:sz w:val="22"/>
        </w:rPr>
        <w:t>Show unanswered critical questions before claiming that permit discovery is complete.</w:t>
      </w:r>
    </w:p>
    <w:p>
      <w:pPr>
        <w:pStyle w:val="Heading2"/>
        <w:keepNext/>
      </w:pPr>
      <w:r>
        <w:t>Permit discovery and requirements</w:t>
      </w:r>
    </w:p>
    <w:p>
      <w:pPr>
        <w:pStyle w:val="ListBullet"/>
        <w:spacing w:after="80" w:line="300" w:lineRule="auto"/>
      </w:pPr>
      <w:r>
        <w:rPr>
          <w:rFonts w:ascii="Calibri" w:hAnsi="Calibri"/>
          <w:color w:val="243447"/>
          <w:sz w:val="22"/>
        </w:rPr>
        <w:t>Recommend likely permits and explain why each permit was suggested.</w:t>
      </w:r>
    </w:p>
    <w:p>
      <w:pPr>
        <w:pStyle w:val="ListBullet"/>
        <w:spacing w:after="80" w:line="300" w:lineRule="auto"/>
      </w:pPr>
      <w:r>
        <w:rPr>
          <w:rFonts w:ascii="Calibri" w:hAnsi="Calibri"/>
          <w:color w:val="243447"/>
          <w:sz w:val="22"/>
        </w:rPr>
        <w:t>Let the user confirm, dismiss, or manually add a permit; record the decision and reason.</w:t>
      </w:r>
    </w:p>
    <w:p>
      <w:pPr>
        <w:pStyle w:val="ListBullet"/>
        <w:spacing w:after="80" w:line="300" w:lineRule="auto"/>
      </w:pPr>
      <w:r>
        <w:rPr>
          <w:rFonts w:ascii="Calibri" w:hAnsi="Calibri"/>
          <w:color w:val="243447"/>
          <w:sz w:val="22"/>
        </w:rPr>
        <w:t>Create a separate checklist for every permit instead of one undifferentiated project list.</w:t>
      </w:r>
    </w:p>
    <w:p>
      <w:pPr>
        <w:pStyle w:val="ListBullet"/>
        <w:spacing w:after="80" w:line="300" w:lineRule="auto"/>
      </w:pPr>
      <w:r>
        <w:rPr>
          <w:rFonts w:ascii="Calibri" w:hAnsi="Calibri"/>
          <w:color w:val="243447"/>
          <w:sz w:val="22"/>
        </w:rPr>
        <w:t>Group requirements into forms, plans/drawings, calculations, licenses, supporting records, fees, and submission prerequisites.</w:t>
      </w:r>
    </w:p>
    <w:p>
      <w:pPr>
        <w:pStyle w:val="ListBullet"/>
        <w:spacing w:after="80" w:line="300" w:lineRule="auto"/>
      </w:pPr>
      <w:r>
        <w:rPr>
          <w:rFonts w:ascii="Calibri" w:hAnsi="Calibri"/>
          <w:color w:val="243447"/>
          <w:sz w:val="22"/>
        </w:rPr>
        <w:t>Show requirement status as Missing, Uploaded, Needs Review, Accepted, Not Applicable, or Blocked.</w:t>
      </w:r>
    </w:p>
    <w:p>
      <w:pPr>
        <w:pStyle w:val="Heading2"/>
        <w:keepNext/>
      </w:pPr>
      <w:r>
        <w:t>Document workspace and intelligent checks</w:t>
      </w:r>
    </w:p>
    <w:p>
      <w:pPr>
        <w:pStyle w:val="ListBullet"/>
        <w:spacing w:after="80" w:line="300" w:lineRule="auto"/>
      </w:pPr>
      <w:r>
        <w:rPr>
          <w:rFonts w:ascii="Calibri" w:hAnsi="Calibri"/>
          <w:color w:val="243447"/>
          <w:sz w:val="22"/>
        </w:rPr>
        <w:t>Upload, preview, categorize, rename, and version project documents.</w:t>
      </w:r>
    </w:p>
    <w:p>
      <w:pPr>
        <w:pStyle w:val="ListBullet"/>
        <w:spacing w:after="80" w:line="300" w:lineRule="auto"/>
      </w:pPr>
      <w:r>
        <w:rPr>
          <w:rFonts w:ascii="Calibri" w:hAnsi="Calibri"/>
          <w:color w:val="243447"/>
          <w:sz w:val="22"/>
        </w:rPr>
        <w:t>Associate one document with one or more permits and requirements.</w:t>
      </w:r>
    </w:p>
    <w:p>
      <w:pPr>
        <w:pStyle w:val="ListBullet"/>
        <w:spacing w:after="80" w:line="300" w:lineRule="auto"/>
      </w:pPr>
      <w:r>
        <w:rPr>
          <w:rFonts w:ascii="Calibri" w:hAnsi="Calibri"/>
          <w:color w:val="243447"/>
          <w:sz w:val="22"/>
        </w:rPr>
        <w:t>Extract obvious facts from supported files, but require a person to confirm important values before they control readiness.</w:t>
      </w:r>
    </w:p>
    <w:p>
      <w:pPr>
        <w:pStyle w:val="ListBullet"/>
        <w:spacing w:after="80" w:line="300" w:lineRule="auto"/>
      </w:pPr>
      <w:r>
        <w:rPr>
          <w:rFonts w:ascii="Calibri" w:hAnsi="Calibri"/>
          <w:color w:val="243447"/>
          <w:sz w:val="22"/>
        </w:rPr>
        <w:t>Flag missing files, unreadable files, stale versions, conflicting project facts, and obvious inconsistencies.</w:t>
      </w:r>
    </w:p>
    <w:p>
      <w:pPr>
        <w:pStyle w:val="ListBullet"/>
        <w:spacing w:after="80" w:line="300" w:lineRule="auto"/>
      </w:pPr>
      <w:r>
        <w:rPr>
          <w:rFonts w:ascii="Calibri" w:hAnsi="Calibri"/>
          <w:color w:val="243447"/>
          <w:sz w:val="22"/>
        </w:rPr>
        <w:t>Show the exact requirement and source behind every warning. Avoid unexplained AI scores.</w:t>
      </w:r>
    </w:p>
    <w:p>
      <w:pPr>
        <w:pStyle w:val="ListBullet"/>
        <w:spacing w:after="80" w:line="300" w:lineRule="auto"/>
      </w:pPr>
      <w:r>
        <w:rPr>
          <w:rFonts w:ascii="Calibri" w:hAnsi="Calibri"/>
          <w:color w:val="243447"/>
          <w:sz w:val="22"/>
        </w:rPr>
        <w:t>Calculate permit-level and project-level readiness from completed requirements and unresolved blockers.</w:t>
      </w:r>
    </w:p>
    <w:p>
      <w:pPr>
        <w:pStyle w:val="ListBullet"/>
      </w:pPr>
      <w:r>
        <w:rPr>
          <w:rFonts w:ascii="Calibri" w:hAnsi="Calibri"/>
          <w:color w:val="243447"/>
          <w:sz w:val="22"/>
        </w:rPr>
        <w:t>Provide both Review All Permits and Review This Permit. Project-wide checks run once and attach their findings to every affected permit; permit-specific checks remain within that permit.</w:t>
      </w:r>
    </w:p>
    <w:p>
      <w:pPr>
        <w:pStyle w:val="ListBullet"/>
      </w:pPr>
      <w:r>
        <w:rPr>
          <w:rFonts w:ascii="Calibri" w:hAnsi="Calibri"/>
          <w:color w:val="243447"/>
          <w:sz w:val="22"/>
        </w:rPr>
        <w:t>Treat zoning, building, fire, site, utilities, and custom/company checks as review disciplines. Do not expose the underlying rule library as the main customer workflow.</w:t>
      </w:r>
    </w:p>
    <w:p>
      <w:pPr>
        <w:pStyle w:val="Heading2"/>
        <w:keepNext/>
      </w:pPr>
      <w:r>
        <w:t>Package and report output</w:t>
      </w:r>
    </w:p>
    <w:p>
      <w:pPr>
        <w:pStyle w:val="ListBullet"/>
        <w:spacing w:after="80" w:line="300" w:lineRule="auto"/>
      </w:pPr>
      <w:r>
        <w:rPr>
          <w:rFonts w:ascii="Calibri" w:hAnsi="Calibri"/>
          <w:color w:val="243447"/>
          <w:sz w:val="22"/>
        </w:rPr>
        <w:t>Generate a readiness summary containing project facts, suggested permits, requirement status, unresolved issues, and source links.</w:t>
      </w:r>
    </w:p>
    <w:p>
      <w:pPr>
        <w:pStyle w:val="ListBullet"/>
        <w:spacing w:after="80" w:line="300" w:lineRule="auto"/>
      </w:pPr>
      <w:r>
        <w:rPr>
          <w:rFonts w:ascii="Calibri" w:hAnsi="Calibri"/>
          <w:color w:val="243447"/>
          <w:sz w:val="22"/>
        </w:rPr>
        <w:t>Create an organized package index and downloadable document bundle for a human to submit through the official portal.</w:t>
      </w:r>
    </w:p>
    <w:p>
      <w:pPr>
        <w:pStyle w:val="ListBullet"/>
        <w:spacing w:after="80" w:line="300" w:lineRule="auto"/>
      </w:pPr>
      <w:r>
        <w:rPr>
          <w:rFonts w:ascii="Calibri" w:hAnsi="Calibri"/>
          <w:color w:val="243447"/>
          <w:sz w:val="22"/>
        </w:rPr>
        <w:t>Keep autonomous filing, payments, signatures, and claims of guaranteed approval outside the MVP.</w:t>
      </w:r>
    </w:p>
    <w:p>
      <w:pPr>
        <w:pStyle w:val="ListBullet"/>
      </w:pPr>
      <w:r>
        <w:rPr>
          <w:rFonts w:ascii="Calibri" w:hAnsi="Calibri"/>
          <w:color w:val="243447"/>
          <w:sz w:val="22"/>
        </w:rPr>
        <w:t>When all confirmed permits pass, show Ready for Human Review and require an explicit reviewer decision before Ready for Submission.</w:t>
      </w:r>
    </w:p>
    <w:p>
      <w:pPr>
        <w:pStyle w:val="ListBullet"/>
      </w:pPr>
      <w:r>
        <w:rPr>
          <w:rFonts w:ascii="Calibri" w:hAnsi="Calibri"/>
          <w:color w:val="243447"/>
          <w:sz w:val="22"/>
        </w:rPr>
        <w:t>Generate the Submission Readiness Package: readiness PDF, confirmed permit register, per-permit checklists, document index, organized ZIP bundle, findings/exception report, and submission handoff sheet.</w:t>
      </w:r>
    </w:p>
    <w:p>
      <w:pPr>
        <w:pStyle w:val="ListBullet"/>
      </w:pPr>
      <w:r>
        <w:rPr>
          <w:rFonts w:ascii="Calibri" w:hAnsi="Calibri"/>
          <w:color w:val="243447"/>
          <w:sz w:val="22"/>
        </w:rPr>
        <w:t>Freeze a dated reviewed version and warn the user when later project or document changes invalidate that approved snapshot.</w:t>
      </w:r>
    </w:p>
    <w:p>
      <w:pPr>
        <w:pStyle w:val="Heading2"/>
        <w:keepNext/>
      </w:pPr>
      <w:r>
        <w:t>Completion gate</w:t>
      </w:r>
    </w:p>
    <w:p>
      <w:pPr>
        <w:pStyle w:val="ListBullet"/>
        <w:spacing w:after="80" w:line="300" w:lineRule="auto"/>
      </w:pPr>
      <w:r>
        <w:rPr>
          <w:rFonts w:ascii="Calibri" w:hAnsi="Calibri"/>
          <w:color w:val="243447"/>
          <w:sz w:val="22"/>
        </w:rPr>
        <w:t>A new user can move from a Kansas City work description to a clear permit list and actionable document checklist.</w:t>
      </w:r>
    </w:p>
    <w:p>
      <w:pPr>
        <w:pStyle w:val="ListBullet"/>
        <w:spacing w:after="80" w:line="300" w:lineRule="auto"/>
      </w:pPr>
      <w:r>
        <w:rPr>
          <w:rFonts w:ascii="Calibri" w:hAnsi="Calibri"/>
          <w:color w:val="243447"/>
          <w:sz w:val="22"/>
        </w:rPr>
        <w:t>The strongest Kansas City sample projects produce repeatable results and explain why each requirement exists.</w:t>
      </w:r>
    </w:p>
    <w:p>
      <w:pPr>
        <w:pStyle w:val="ListBullet"/>
        <w:spacing w:after="80" w:line="300" w:lineRule="auto"/>
      </w:pPr>
      <w:r>
        <w:rPr>
          <w:rFonts w:ascii="Calibri" w:hAnsi="Calibri"/>
          <w:color w:val="243447"/>
          <w:sz w:val="22"/>
        </w:rPr>
        <w:t>No project can display Ready while a required item or unresolved blocker remains.</w:t>
      </w:r>
    </w:p>
    <w:p>
      <w:pPr>
        <w:pStyle w:val="ListBullet"/>
        <w:spacing w:after="80" w:line="300" w:lineRule="auto"/>
      </w:pPr>
      <w:r>
        <w:rPr>
          <w:rFonts w:ascii="Calibri" w:hAnsi="Calibri"/>
          <w:color w:val="243447"/>
          <w:sz w:val="22"/>
        </w:rPr>
        <w:t>A reviewer can inspect, correct, and export the package without relying on hidden system decisions.</w:t>
      </w:r>
    </w:p>
    <w:p>
      <w:pPr>
        <w:pStyle w:val="Heading1"/>
        <w:keepNext/>
      </w:pPr>
      <w:r>
        <w:rPr>
          <w:rFonts w:ascii="Calibri" w:hAnsi="Calibri"/>
          <w:b/>
          <w:color w:val="2E74B5"/>
          <w:sz w:val="32"/>
        </w:rPr>
        <w:t>STEP 4  |  ADD TEAM COLLABORATION AND THE FULL PERMIT LIFECYCLE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1F4D78"/>
                <w:sz w:val="21"/>
              </w:rPr>
              <w:t xml:space="preserve">Outcome: </w:t>
            </w:r>
            <w:r>
              <w:rPr>
                <w:rFonts w:ascii="Calibri" w:hAnsi="Calibri"/>
                <w:color w:val="243447"/>
                <w:sz w:val="21"/>
              </w:rPr>
              <w:t>EstatePermit remains useful after the initial checklist by becoming the operating record for follow-ups, corrections, inspections, and closeout.</w:t>
            </w:r>
          </w:p>
        </w:tc>
      </w:tr>
    </w:tbl>
    <w:p>
      <w:pPr>
        <w:spacing w:after="0"/>
      </w:pPr>
    </w:p>
    <w:p>
      <w:pPr>
        <w:pStyle w:val="Heading2"/>
        <w:keepNext/>
      </w:pPr>
      <w:r>
        <w:t>Collaboration features</w:t>
      </w:r>
    </w:p>
    <w:p>
      <w:pPr>
        <w:pStyle w:val="ListBullet"/>
        <w:spacing w:after="80" w:line="300" w:lineRule="auto"/>
      </w:pPr>
      <w:r>
        <w:rPr>
          <w:rFonts w:ascii="Calibri" w:hAnsi="Calibri"/>
          <w:color w:val="243447"/>
          <w:sz w:val="22"/>
        </w:rPr>
        <w:t>Invite internal teammates and external collaborators with appropriate project access.</w:t>
      </w:r>
    </w:p>
    <w:p>
      <w:pPr>
        <w:pStyle w:val="ListBullet"/>
        <w:spacing w:after="80" w:line="300" w:lineRule="auto"/>
      </w:pPr>
      <w:r>
        <w:rPr>
          <w:rFonts w:ascii="Calibri" w:hAnsi="Calibri"/>
          <w:color w:val="243447"/>
          <w:sz w:val="22"/>
        </w:rPr>
        <w:t>Add comments to a project, permit, requirement, document, or issue; support replies and resolution.</w:t>
      </w:r>
    </w:p>
    <w:p>
      <w:pPr>
        <w:pStyle w:val="ListBullet"/>
        <w:spacing w:after="80" w:line="300" w:lineRule="auto"/>
      </w:pPr>
      <w:r>
        <w:rPr>
          <w:rFonts w:ascii="Calibri" w:hAnsi="Calibri"/>
          <w:color w:val="243447"/>
          <w:sz w:val="22"/>
        </w:rPr>
        <w:t>Create tasks with owner, due date, priority, status, and a link to the relevant permit item.</w:t>
      </w:r>
    </w:p>
    <w:p>
      <w:pPr>
        <w:pStyle w:val="ListBullet"/>
        <w:spacing w:after="80" w:line="300" w:lineRule="auto"/>
      </w:pPr>
      <w:r>
        <w:rPr>
          <w:rFonts w:ascii="Calibri" w:hAnsi="Calibri"/>
          <w:color w:val="243447"/>
          <w:sz w:val="22"/>
        </w:rPr>
        <w:t>Maintain an activity timeline showing important changes, uploads, decisions, status updates, and resolved issues.</w:t>
      </w:r>
    </w:p>
    <w:p>
      <w:pPr>
        <w:pStyle w:val="ListBullet"/>
        <w:spacing w:after="80" w:line="300" w:lineRule="auto"/>
      </w:pPr>
      <w:r>
        <w:rPr>
          <w:rFonts w:ascii="Calibri" w:hAnsi="Calibri"/>
          <w:color w:val="243447"/>
          <w:sz w:val="22"/>
        </w:rPr>
        <w:t>Notify users about assignments, due dates, unresolved corrections, and inspection events without overwhelming them.</w:t>
      </w:r>
    </w:p>
    <w:p>
      <w:pPr>
        <w:pStyle w:val="Heading2"/>
        <w:keepNext/>
      </w:pPr>
      <w:r>
        <w:t>Permit status and follow-up</w:t>
      </w:r>
    </w:p>
    <w:p>
      <w:pPr>
        <w:pStyle w:val="ListBullet"/>
        <w:spacing w:after="80" w:line="300" w:lineRule="auto"/>
      </w:pPr>
      <w:r>
        <w:rPr>
          <w:rFonts w:ascii="Calibri" w:hAnsi="Calibri"/>
          <w:color w:val="243447"/>
          <w:sz w:val="22"/>
        </w:rPr>
        <w:t>Track each permit through Draft, Permit Discovery Complete, Requirements In Progress, Blocked, Ready for Human Review, Ready for Submission, Submitted, In Review, Corrections Required, Resubmitted, Approved/Issued, Inspections, Closed, or Cancelled.</w:t>
      </w:r>
    </w:p>
    <w:p>
      <w:pPr>
        <w:pStyle w:val="ListBullet"/>
        <w:spacing w:after="80" w:line="300" w:lineRule="auto"/>
      </w:pPr>
      <w:r>
        <w:rPr>
          <w:rFonts w:ascii="Calibri" w:hAnsi="Calibri"/>
          <w:color w:val="243447"/>
          <w:sz w:val="22"/>
        </w:rPr>
        <w:t>Record submission date, portal reference number, responsible person, reviewer contact, expected response date, and the next follow-up action.</w:t>
      </w:r>
    </w:p>
    <w:p>
      <w:pPr>
        <w:pStyle w:val="ListBullet"/>
        <w:spacing w:after="80" w:line="300" w:lineRule="auto"/>
      </w:pPr>
      <w:r>
        <w:rPr>
          <w:rFonts w:ascii="Calibri" w:hAnsi="Calibri"/>
          <w:color w:val="243447"/>
          <w:sz w:val="22"/>
        </w:rPr>
        <w:t>Capture correction notices as individual issues, connect them to documents or requirements, assign owners, and record resubmission history.</w:t>
      </w:r>
    </w:p>
    <w:p>
      <w:pPr>
        <w:pStyle w:val="ListBullet"/>
        <w:spacing w:after="80" w:line="300" w:lineRule="auto"/>
      </w:pPr>
      <w:r>
        <w:rPr>
          <w:rFonts w:ascii="Calibri" w:hAnsi="Calibri"/>
          <w:color w:val="243447"/>
          <w:sz w:val="22"/>
        </w:rPr>
        <w:t>Provide a portfolio attention queue for permits that are blocked, overdue, awaiting correction, or approaching an inspection.</w:t>
      </w:r>
    </w:p>
    <w:p>
      <w:pPr>
        <w:pStyle w:val="ListBullet"/>
      </w:pPr>
      <w:r>
        <w:rPr>
          <w:rFonts w:ascii="Calibri" w:hAnsi="Calibri"/>
          <w:color w:val="243447"/>
          <w:sz w:val="22"/>
        </w:rPr>
        <w:t>After external submission, let the user record the official application/permit number, filing date, portal status, assigned reviewer, expected response date, and next follow-up without recreating the permit record.</w:t>
      </w:r>
    </w:p>
    <w:p>
      <w:pPr>
        <w:pStyle w:val="Heading2"/>
        <w:keepNext/>
      </w:pPr>
      <w:r>
        <w:t>Inspections and closeout</w:t>
      </w:r>
    </w:p>
    <w:p>
      <w:pPr>
        <w:pStyle w:val="ListBullet"/>
        <w:spacing w:after="80" w:line="300" w:lineRule="auto"/>
      </w:pPr>
      <w:r>
        <w:rPr>
          <w:rFonts w:ascii="Calibri" w:hAnsi="Calibri"/>
          <w:color w:val="243447"/>
          <w:sz w:val="22"/>
        </w:rPr>
        <w:t>List expected inspections for supported Kansas City workflows.</w:t>
      </w:r>
    </w:p>
    <w:p>
      <w:pPr>
        <w:pStyle w:val="ListBullet"/>
        <w:spacing w:after="80" w:line="300" w:lineRule="auto"/>
      </w:pPr>
      <w:r>
        <w:rPr>
          <w:rFonts w:ascii="Calibri" w:hAnsi="Calibri"/>
          <w:color w:val="243447"/>
          <w:sz w:val="22"/>
        </w:rPr>
        <w:t>Record requested/scheduled date, inspector information, result, notes, attachments, and reinspection needs.</w:t>
      </w:r>
    </w:p>
    <w:p>
      <w:pPr>
        <w:pStyle w:val="ListBullet"/>
        <w:spacing w:after="80" w:line="300" w:lineRule="auto"/>
      </w:pPr>
      <w:r>
        <w:rPr>
          <w:rFonts w:ascii="Calibri" w:hAnsi="Calibri"/>
          <w:color w:val="243447"/>
          <w:sz w:val="22"/>
        </w:rPr>
        <w:t>Show remaining inspections and closeout documents before a project can be marked complete.</w:t>
      </w:r>
    </w:p>
    <w:p>
      <w:pPr>
        <w:pStyle w:val="ListBullet"/>
        <w:spacing w:after="80" w:line="300" w:lineRule="auto"/>
      </w:pPr>
      <w:r>
        <w:rPr>
          <w:rFonts w:ascii="Calibri" w:hAnsi="Calibri"/>
          <w:color w:val="243447"/>
          <w:sz w:val="22"/>
        </w:rPr>
        <w:t>Preserve a final project record that can be exported for the contractor or customer.</w:t>
      </w:r>
    </w:p>
    <w:p>
      <w:pPr>
        <w:pStyle w:val="Heading2"/>
        <w:keepNext/>
      </w:pPr>
      <w:r>
        <w:t>Completion gate</w:t>
      </w:r>
    </w:p>
    <w:p>
      <w:pPr>
        <w:pStyle w:val="ListBullet"/>
        <w:spacing w:after="80" w:line="300" w:lineRule="auto"/>
      </w:pPr>
      <w:r>
        <w:rPr>
          <w:rFonts w:ascii="Calibri" w:hAnsi="Calibri"/>
          <w:color w:val="243447"/>
          <w:sz w:val="22"/>
        </w:rPr>
        <w:t>A team can manage at least one sample permit from draft through corrections, issuance, inspection, and closeout.</w:t>
      </w:r>
    </w:p>
    <w:p>
      <w:pPr>
        <w:pStyle w:val="ListBullet"/>
        <w:spacing w:after="80" w:line="300" w:lineRule="auto"/>
      </w:pPr>
      <w:r>
        <w:rPr>
          <w:rFonts w:ascii="Calibri" w:hAnsi="Calibri"/>
          <w:color w:val="243447"/>
          <w:sz w:val="22"/>
        </w:rPr>
        <w:t>Every important action has an owner, status, date, and visible history.</w:t>
      </w:r>
    </w:p>
    <w:p>
      <w:pPr>
        <w:pStyle w:val="ListBullet"/>
        <w:spacing w:after="80" w:line="300" w:lineRule="auto"/>
      </w:pPr>
      <w:r>
        <w:rPr>
          <w:rFonts w:ascii="Calibri" w:hAnsi="Calibri"/>
          <w:color w:val="243447"/>
          <w:sz w:val="22"/>
        </w:rPr>
        <w:t>The portfolio dashboard identifies the next action without requiring the user to open every project.</w:t>
      </w:r>
    </w:p>
    <w:p>
      <w:pPr>
        <w:pStyle w:val="ListBullet"/>
        <w:spacing w:after="80" w:line="300" w:lineRule="auto"/>
      </w:pPr>
      <w:r>
        <w:rPr>
          <w:rFonts w:ascii="Calibri" w:hAnsi="Calibri"/>
          <w:color w:val="243447"/>
          <w:sz w:val="22"/>
        </w:rPr>
        <w:t>Users can collaborate without exposing one company's projects to another company.</w:t>
      </w:r>
    </w:p>
    <w:p>
      <w:pPr>
        <w:pStyle w:val="Heading1"/>
        <w:keepNext/>
      </w:pPr>
      <w:r>
        <w:rPr>
          <w:rFonts w:ascii="Calibri" w:hAnsi="Calibri"/>
          <w:b/>
          <w:color w:val="2E74B5"/>
          <w:sz w:val="32"/>
        </w:rPr>
        <w:t>STEP 5  |  TURN THE MVP INTO A PILOT-READY, PITCHABLE PRODUCT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1F4D78"/>
                <w:sz w:val="21"/>
              </w:rPr>
              <w:t xml:space="preserve">Outcome: </w:t>
            </w:r>
            <w:r>
              <w:rPr>
                <w:rFonts w:ascii="Calibri" w:hAnsi="Calibri"/>
                <w:color w:val="243447"/>
                <w:sz w:val="21"/>
              </w:rPr>
              <w:t>The product is stable, credible, easy to demonstrate, and ready for controlled free pilots with Kansas City firms.</w:t>
            </w:r>
          </w:p>
        </w:tc>
      </w:tr>
    </w:tbl>
    <w:p>
      <w:pPr>
        <w:spacing w:after="0"/>
      </w:pPr>
    </w:p>
    <w:p>
      <w:pPr>
        <w:pStyle w:val="Heading2"/>
        <w:keepNext/>
      </w:pPr>
      <w:r>
        <w:t>Product polish and trust</w:t>
      </w:r>
    </w:p>
    <w:p>
      <w:pPr>
        <w:pStyle w:val="ListBullet"/>
        <w:spacing w:after="80" w:line="300" w:lineRule="auto"/>
      </w:pPr>
      <w:r>
        <w:rPr>
          <w:rFonts w:ascii="Calibri" w:hAnsi="Calibri"/>
          <w:color w:val="243447"/>
          <w:sz w:val="22"/>
        </w:rPr>
        <w:t>Create a clean first-run onboarding flow with one guided sample project and concise explanations of the product's limits.</w:t>
      </w:r>
    </w:p>
    <w:p>
      <w:pPr>
        <w:pStyle w:val="ListBullet"/>
        <w:spacing w:after="80" w:line="300" w:lineRule="auto"/>
      </w:pPr>
      <w:r>
        <w:rPr>
          <w:rFonts w:ascii="Calibri" w:hAnsi="Calibri"/>
          <w:color w:val="243447"/>
          <w:sz w:val="22"/>
        </w:rPr>
        <w:t>Prepare realistic Kansas City demo projects for the strongest supported trade and one or two secondary workflows.</w:t>
      </w:r>
    </w:p>
    <w:p>
      <w:pPr>
        <w:pStyle w:val="ListBullet"/>
        <w:spacing w:after="80" w:line="300" w:lineRule="auto"/>
      </w:pPr>
      <w:r>
        <w:rPr>
          <w:rFonts w:ascii="Calibri" w:hAnsi="Calibri"/>
          <w:color w:val="243447"/>
          <w:sz w:val="22"/>
        </w:rPr>
        <w:t>Add empty states, error recovery, upload progress, clear status language, and mobile-friendly viewing for field users.</w:t>
      </w:r>
    </w:p>
    <w:p>
      <w:pPr>
        <w:pStyle w:val="ListBullet"/>
        <w:spacing w:after="80" w:line="300" w:lineRule="auto"/>
      </w:pPr>
      <w:r>
        <w:rPr>
          <w:rFonts w:ascii="Calibri" w:hAnsi="Calibri"/>
          <w:color w:val="243447"/>
          <w:sz w:val="22"/>
        </w:rPr>
        <w:t>Apply basic security and privacy controls: secure sign-in, company separation, least-privilege roles, private files, backups, audit history, and a simple retention/deletion process.</w:t>
      </w:r>
    </w:p>
    <w:p>
      <w:pPr>
        <w:pStyle w:val="ListBullet"/>
        <w:spacing w:after="80" w:line="300" w:lineRule="auto"/>
      </w:pPr>
      <w:r>
        <w:rPr>
          <w:rFonts w:ascii="Calibri" w:hAnsi="Calibri"/>
          <w:color w:val="243447"/>
          <w:sz w:val="22"/>
        </w:rPr>
        <w:t>Display disclaimers in the right places: EstatePermit assists with preparation and tracking; official requirements and decisions remain with the authority having jurisdiction.</w:t>
      </w:r>
    </w:p>
    <w:p>
      <w:pPr>
        <w:pStyle w:val="ListBullet"/>
        <w:spacing w:after="80" w:line="300" w:lineRule="auto"/>
      </w:pPr>
      <w:r>
        <w:rPr>
          <w:rFonts w:ascii="Calibri" w:hAnsi="Calibri"/>
          <w:color w:val="243447"/>
          <w:sz w:val="22"/>
        </w:rPr>
        <w:t>Add a feedback button and a way to flag an incorrect requirement or outdated source from inside the project.</w:t>
      </w:r>
    </w:p>
    <w:p>
      <w:pPr>
        <w:pStyle w:val="Heading2"/>
        <w:keepNext/>
      </w:pPr>
      <w:r>
        <w:t>Pilot operations</w:t>
      </w:r>
    </w:p>
    <w:p>
      <w:pPr>
        <w:pStyle w:val="ListBullet"/>
        <w:spacing w:after="80" w:line="300" w:lineRule="auto"/>
      </w:pPr>
      <w:r>
        <w:rPr>
          <w:rFonts w:ascii="Calibri" w:hAnsi="Calibri"/>
          <w:color w:val="243447"/>
          <w:sz w:val="22"/>
        </w:rPr>
        <w:t>Recruit a small review group first: friends, professors, and domain contacts who can test scenarios and challenge the guidance.</w:t>
      </w:r>
    </w:p>
    <w:p>
      <w:pPr>
        <w:pStyle w:val="ListBullet"/>
        <w:spacing w:after="80" w:line="300" w:lineRule="auto"/>
      </w:pPr>
      <w:r>
        <w:rPr>
          <w:rFonts w:ascii="Calibri" w:hAnsi="Calibri"/>
          <w:color w:val="243447"/>
          <w:sz w:val="22"/>
        </w:rPr>
        <w:t>Then run controlled pilots with a small number of Kansas City-area firms. Free service is acceptable in exchange for access to workflows, feedback, and measurable results.</w:t>
      </w:r>
    </w:p>
    <w:p>
      <w:pPr>
        <w:pStyle w:val="ListBullet"/>
        <w:spacing w:after="80" w:line="300" w:lineRule="auto"/>
      </w:pPr>
      <w:r>
        <w:rPr>
          <w:rFonts w:ascii="Calibri" w:hAnsi="Calibri"/>
          <w:color w:val="243447"/>
          <w:sz w:val="22"/>
        </w:rPr>
        <w:t>Onboard each pilot around one recurring permit workflow instead of promising full coverage for every permit on day one.</w:t>
      </w:r>
    </w:p>
    <w:p>
      <w:pPr>
        <w:pStyle w:val="ListBullet"/>
        <w:spacing w:after="80" w:line="300" w:lineRule="auto"/>
      </w:pPr>
      <w:r>
        <w:rPr>
          <w:rFonts w:ascii="Calibri" w:hAnsi="Calibri"/>
          <w:color w:val="243447"/>
          <w:sz w:val="22"/>
        </w:rPr>
        <w:t>Provide human review during the pilot, record every product gap, and convert repeated gaps into product or city-pack improvements.</w:t>
      </w:r>
    </w:p>
    <w:p>
      <w:pPr>
        <w:pStyle w:val="ListBullet"/>
        <w:spacing w:after="80" w:line="300" w:lineRule="auto"/>
      </w:pPr>
      <w:r>
        <w:rPr>
          <w:rFonts w:ascii="Calibri" w:hAnsi="Calibri"/>
          <w:color w:val="243447"/>
          <w:sz w:val="22"/>
        </w:rPr>
        <w:t>Use a short pilot agreement describing scope, data handling, feedback permission, no-guarantee language, and what support the team will provide.</w:t>
      </w:r>
    </w:p>
    <w:p>
      <w:pPr>
        <w:pStyle w:val="Heading2"/>
        <w:keepNext/>
      </w:pPr>
      <w:r>
        <w:t>Measurement and proof</w:t>
      </w:r>
    </w:p>
    <w:p>
      <w:pPr>
        <w:pStyle w:val="ListBullet"/>
        <w:spacing w:after="80" w:line="300" w:lineRule="auto"/>
      </w:pPr>
      <w:r>
        <w:rPr>
          <w:rFonts w:ascii="Calibri" w:hAnsi="Calibri"/>
          <w:color w:val="243447"/>
          <w:sz w:val="22"/>
        </w:rPr>
        <w:t>Time from project creation to a complete permit checklist.</w:t>
      </w:r>
    </w:p>
    <w:p>
      <w:pPr>
        <w:pStyle w:val="ListBullet"/>
        <w:spacing w:after="80" w:line="300" w:lineRule="auto"/>
      </w:pPr>
      <w:r>
        <w:rPr>
          <w:rFonts w:ascii="Calibri" w:hAnsi="Calibri"/>
          <w:color w:val="243447"/>
          <w:sz w:val="22"/>
        </w:rPr>
        <w:t>Time spent gathering and organizing documents.</w:t>
      </w:r>
    </w:p>
    <w:p>
      <w:pPr>
        <w:pStyle w:val="ListBullet"/>
        <w:spacing w:after="80" w:line="300" w:lineRule="auto"/>
      </w:pPr>
      <w:r>
        <w:rPr>
          <w:rFonts w:ascii="Calibri" w:hAnsi="Calibri"/>
          <w:color w:val="243447"/>
          <w:sz w:val="22"/>
        </w:rPr>
        <w:t>Number of missing or inconsistent items caught before submission.</w:t>
      </w:r>
    </w:p>
    <w:p>
      <w:pPr>
        <w:pStyle w:val="ListBullet"/>
        <w:spacing w:after="80" w:line="300" w:lineRule="auto"/>
      </w:pPr>
      <w:r>
        <w:rPr>
          <w:rFonts w:ascii="Calibri" w:hAnsi="Calibri"/>
          <w:color w:val="243447"/>
          <w:sz w:val="22"/>
        </w:rPr>
        <w:t>Number and age of correction items and follow-ups.</w:t>
      </w:r>
    </w:p>
    <w:p>
      <w:pPr>
        <w:pStyle w:val="ListBullet"/>
        <w:spacing w:after="80" w:line="300" w:lineRule="auto"/>
      </w:pPr>
      <w:r>
        <w:rPr>
          <w:rFonts w:ascii="Calibri" w:hAnsi="Calibri"/>
          <w:color w:val="243447"/>
          <w:sz w:val="22"/>
        </w:rPr>
        <w:t>User return rate, projects created, permits tracked, and reports exported.</w:t>
      </w:r>
    </w:p>
    <w:p>
      <w:pPr>
        <w:pStyle w:val="ListBullet"/>
        <w:spacing w:after="80" w:line="300" w:lineRule="auto"/>
      </w:pPr>
      <w:r>
        <w:rPr>
          <w:rFonts w:ascii="Calibri" w:hAnsi="Calibri"/>
          <w:color w:val="243447"/>
          <w:sz w:val="22"/>
        </w:rPr>
        <w:t>Qualitative proof: customer quotes, willingness to continue, and willingness to pay after the free pilot.</w:t>
      </w:r>
    </w:p>
    <w:p>
      <w:pPr>
        <w:pStyle w:val="Heading2"/>
        <w:keepNext/>
      </w:pPr>
      <w:r>
        <w:t>Pitch materials produced from the MVP</w:t>
      </w:r>
    </w:p>
    <w:p>
      <w:pPr>
        <w:pStyle w:val="ListBullet"/>
        <w:spacing w:after="80" w:line="300" w:lineRule="auto"/>
      </w:pPr>
      <w:r>
        <w:rPr>
          <w:rFonts w:ascii="Calibri" w:hAnsi="Calibri"/>
          <w:color w:val="243447"/>
          <w:sz w:val="22"/>
        </w:rPr>
        <w:t>A 5-7 minute live demo using a Kansas City project: select city, describe work, discover permits, review missing requirements, assign a correction, and show lifecycle tracking.</w:t>
      </w:r>
    </w:p>
    <w:p>
      <w:pPr>
        <w:pStyle w:val="ListBullet"/>
        <w:spacing w:after="80" w:line="300" w:lineRule="auto"/>
      </w:pPr>
      <w:r>
        <w:rPr>
          <w:rFonts w:ascii="Calibri" w:hAnsi="Calibri"/>
          <w:color w:val="243447"/>
          <w:sz w:val="22"/>
        </w:rPr>
        <w:t>A one-page pilot offer explaining the target customer, supported Kansas City workflows, value, pilot scope, and required customer participation.</w:t>
      </w:r>
    </w:p>
    <w:p>
      <w:pPr>
        <w:pStyle w:val="ListBullet"/>
        <w:spacing w:after="80" w:line="300" w:lineRule="auto"/>
      </w:pPr>
      <w:r>
        <w:rPr>
          <w:rFonts w:ascii="Calibri" w:hAnsi="Calibri"/>
          <w:color w:val="243447"/>
          <w:sz w:val="22"/>
        </w:rPr>
        <w:t>A short evidence summary showing tested scenarios, expert feedback, pilot usage, time saved, errors caught, and customer interest.</w:t>
      </w:r>
    </w:p>
    <w:p>
      <w:pPr>
        <w:pStyle w:val="ListBullet"/>
        <w:spacing w:after="80" w:line="300" w:lineRule="auto"/>
      </w:pPr>
      <w:r>
        <w:rPr>
          <w:rFonts w:ascii="Calibri" w:hAnsi="Calibri"/>
          <w:color w:val="243447"/>
          <w:sz w:val="22"/>
        </w:rPr>
        <w:t>A simple pricing hypothesis for after the pilot, such as a company subscription with usage limits and optional high-touch permit support.</w:t>
      </w:r>
    </w:p>
    <w:p>
      <w:pPr>
        <w:pStyle w:val="Heading2"/>
        <w:keepNext/>
      </w:pPr>
      <w:r>
        <w:t>Completion gate - definition of pitch-ready</w:t>
      </w:r>
    </w:p>
    <w:p>
      <w:pPr>
        <w:pStyle w:val="ListBullet"/>
        <w:spacing w:after="80" w:line="300" w:lineRule="auto"/>
      </w:pPr>
      <w:r>
        <w:rPr>
          <w:rFonts w:ascii="Calibri" w:hAnsi="Calibri"/>
          <w:color w:val="243447"/>
          <w:sz w:val="22"/>
        </w:rPr>
        <w:t>The full demo can be completed without manual database fixes, broken screens, or hidden steps.</w:t>
      </w:r>
    </w:p>
    <w:p>
      <w:pPr>
        <w:pStyle w:val="ListBullet"/>
        <w:spacing w:after="80" w:line="300" w:lineRule="auto"/>
      </w:pPr>
      <w:r>
        <w:rPr>
          <w:rFonts w:ascii="Calibri" w:hAnsi="Calibri"/>
          <w:color w:val="243447"/>
          <w:sz w:val="22"/>
        </w:rPr>
        <w:t>Kansas City guidance is source-backed and the strongest workflow has passed scenario and reviewer checks.</w:t>
      </w:r>
    </w:p>
    <w:p>
      <w:pPr>
        <w:pStyle w:val="ListBullet"/>
        <w:spacing w:after="80" w:line="300" w:lineRule="auto"/>
      </w:pPr>
      <w:r>
        <w:rPr>
          <w:rFonts w:ascii="Calibri" w:hAnsi="Calibri"/>
          <w:color w:val="243447"/>
          <w:sz w:val="22"/>
        </w:rPr>
        <w:t>At least 3-5 knowledgeable testers have used the product, and the highest-severity findings are resolved.</w:t>
      </w:r>
    </w:p>
    <w:p>
      <w:pPr>
        <w:pStyle w:val="ListBullet"/>
        <w:spacing w:after="80" w:line="300" w:lineRule="auto"/>
      </w:pPr>
      <w:r>
        <w:rPr>
          <w:rFonts w:ascii="Calibri" w:hAnsi="Calibri"/>
          <w:color w:val="243447"/>
          <w:sz w:val="22"/>
        </w:rPr>
        <w:t>At least 2-3 target firms have agreed to a discovery session or controlled pilot; stronger proof is one firm actively using a real project.</w:t>
      </w:r>
    </w:p>
    <w:p>
      <w:pPr>
        <w:pStyle w:val="ListBullet"/>
        <w:spacing w:after="80" w:line="300" w:lineRule="auto"/>
      </w:pPr>
      <w:r>
        <w:rPr>
          <w:rFonts w:ascii="Calibri" w:hAnsi="Calibri"/>
          <w:color w:val="243447"/>
          <w:sz w:val="22"/>
        </w:rPr>
        <w:t>The team can state what the MVP supports, what it does not support, and how a new city or trade will be added.</w:t>
      </w:r>
    </w:p>
    <w:p>
      <w:pPr>
        <w:pStyle w:val="ListBullet"/>
        <w:spacing w:after="80" w:line="300" w:lineRule="auto"/>
      </w:pPr>
      <w:r>
        <w:rPr>
          <w:rFonts w:ascii="Calibri" w:hAnsi="Calibri"/>
          <w:color w:val="243447"/>
          <w:sz w:val="22"/>
        </w:rPr>
        <w:t>The product captures enough usage and outcome data to support later pre-seed conversations.</w:t>
      </w:r>
    </w:p>
    <w:p>
      <w:r>
        <w:br w:type="page"/>
      </w:r>
    </w:p>
    <w:p>
      <w:pPr>
        <w:pStyle w:val="Heading1"/>
        <w:keepNext/>
      </w:pPr>
      <w:r>
        <w:t>Complete MVP feature set at the end of Step 5</w:t>
      </w:r>
    </w:p>
    <w:tbl>
      <w:tblPr>
        <w:tblW w:type="dxa" w:w="9360"/>
        <w:tblLayout w:type="fixed"/>
        <w:tblLook w:firstColumn="1" w:firstRow="1" w:lastColumn="0" w:lastRow="0" w:noHBand="0" w:noVBand="1" w:val="04A0"/>
        <w:jc w:val="left"/>
        <w:tblInd w:w="120" w:type="dxa"/>
      </w:tblPr>
      <w:tblGrid>
        <w:gridCol w:w="2450"/>
        <w:gridCol w:w="4550"/>
        <w:gridCol w:w="2360"/>
      </w:tblGrid>
      <w:tr>
        <w:trPr>
          <w:tblHeader w:val="true"/>
        </w:trPr>
        <w:tc>
          <w:tcPr>
            <w:tcW w:type="dxa" w:w="2450"/>
            <w:tcMar>
              <w:top w:w="80" w:type="dxa"/>
              <w:start w:w="120" w:type="dxa"/>
              <w:bottom w:w="80" w:type="dxa"/>
              <w:end w:w="120" w:type="dxa"/>
            </w:tcMar>
            <w:shd w:fill="17324D"/>
          </w:tcPr>
          <w:p>
            <w:pPr>
              <w:spacing w:after="0"/>
            </w:pPr>
            <w:r>
              <w:rPr>
                <w:rFonts w:ascii="Calibri" w:hAnsi="Calibri"/>
                <w:b/>
                <w:color w:val="FFFFFF"/>
                <w:sz w:val="19"/>
              </w:rPr>
              <w:t>Area</w:t>
            </w:r>
          </w:p>
        </w:tc>
        <w:tc>
          <w:tcPr>
            <w:tcW w:type="dxa" w:w="4550"/>
            <w:tcMar>
              <w:top w:w="80" w:type="dxa"/>
              <w:start w:w="120" w:type="dxa"/>
              <w:bottom w:w="80" w:type="dxa"/>
              <w:end w:w="120" w:type="dxa"/>
            </w:tcMar>
            <w:shd w:fill="17324D"/>
          </w:tcPr>
          <w:p>
            <w:pPr>
              <w:spacing w:after="0"/>
            </w:pPr>
            <w:r>
              <w:rPr>
                <w:rFonts w:ascii="Calibri" w:hAnsi="Calibri"/>
                <w:b/>
                <w:color w:val="FFFFFF"/>
                <w:sz w:val="19"/>
              </w:rPr>
              <w:t>Included in the pitchable MVP</w:t>
            </w:r>
          </w:p>
        </w:tc>
        <w:tc>
          <w:tcPr>
            <w:tcW w:type="dxa" w:w="2360"/>
            <w:tcMar>
              <w:top w:w="80" w:type="dxa"/>
              <w:start w:w="120" w:type="dxa"/>
              <w:bottom w:w="80" w:type="dxa"/>
              <w:end w:w="120" w:type="dxa"/>
            </w:tcMar>
            <w:shd w:fill="17324D"/>
          </w:tcPr>
          <w:p>
            <w:pPr>
              <w:spacing w:after="0"/>
            </w:pPr>
            <w:r>
              <w:rPr>
                <w:rFonts w:ascii="Calibri" w:hAnsi="Calibri"/>
                <w:b/>
                <w:color w:val="FFFFFF"/>
                <w:sz w:val="19"/>
              </w:rPr>
              <w:t>Coverage rule</w:t>
            </w:r>
          </w:p>
        </w:tc>
      </w:tr>
      <w:tr>
        <w:tc>
          <w:tcPr>
            <w:tcW w:type="dxa" w:w="2450"/>
            <w:shd w:fill="F4F7FA"/>
            <w:tcMar>
              <w:top w:w="80" w:type="dxa"/>
              <w:start w:w="120" w:type="dxa"/>
              <w:bottom w:w="80" w:type="dxa"/>
              <w:end w:w="120" w:type="dxa"/>
            </w:tcMar>
          </w:tcPr>
          <w:p>
            <w:pPr>
              <w:spacing w:after="0"/>
            </w:pPr>
            <w:r>
              <w:rPr>
                <w:rFonts w:ascii="Calibri" w:hAnsi="Calibri"/>
                <w:b/>
                <w:color w:val="243447"/>
                <w:sz w:val="18"/>
              </w:rPr>
              <w:t>Accounts and portfolio</w:t>
            </w:r>
          </w:p>
        </w:tc>
        <w:tc>
          <w:tcPr>
            <w:tcW w:type="dxa" w:w="4550"/>
            <w:shd w:fill="F4F7FA"/>
            <w:tcMar>
              <w:top w:w="80" w:type="dxa"/>
              <w:start w:w="120" w:type="dxa"/>
              <w:bottom w:w="80" w:type="dxa"/>
              <w:end w:w="120" w:type="dxa"/>
            </w:tcMar>
          </w:tcPr>
          <w:p>
            <w:pPr>
              <w:spacing w:after="0"/>
            </w:pPr>
            <w:r>
              <w:rPr>
                <w:rFonts w:ascii="Calibri" w:hAnsi="Calibri"/>
                <w:b w:val="0"/>
                <w:color w:val="243447"/>
                <w:sz w:val="18"/>
              </w:rPr>
              <w:t>Sign-in, company workspace, roles, project list, attention queue, search/filter</w:t>
            </w:r>
          </w:p>
        </w:tc>
        <w:tc>
          <w:tcPr>
            <w:tcW w:type="dxa" w:w="2360"/>
            <w:shd w:fill="F4F7FA"/>
            <w:tcMar>
              <w:top w:w="80" w:type="dxa"/>
              <w:start w:w="120" w:type="dxa"/>
              <w:bottom w:w="80" w:type="dxa"/>
              <w:end w:w="120" w:type="dxa"/>
            </w:tcMar>
          </w:tcPr>
          <w:p>
            <w:pPr>
              <w:spacing w:after="0"/>
            </w:pPr>
            <w:r>
              <w:rPr>
                <w:rFonts w:ascii="Calibri" w:hAnsi="Calibri"/>
                <w:b w:val="0"/>
                <w:color w:val="243447"/>
                <w:sz w:val="18"/>
              </w:rPr>
              <w:t>Works for every city</w:t>
            </w:r>
          </w:p>
        </w:tc>
      </w:tr>
      <w:tr>
        <w:tc>
          <w:tcPr>
            <w:tcW w:type="dxa" w:w="2450"/>
            <w:shd w:fill="FFFFFF"/>
            <w:tcMar>
              <w:top w:w="80" w:type="dxa"/>
              <w:start w:w="120" w:type="dxa"/>
              <w:bottom w:w="80" w:type="dxa"/>
              <w:end w:w="120" w:type="dxa"/>
            </w:tcMar>
          </w:tcPr>
          <w:p>
            <w:pPr>
              <w:spacing w:after="0"/>
            </w:pPr>
            <w:r>
              <w:rPr>
                <w:rFonts w:ascii="Calibri" w:hAnsi="Calibri"/>
                <w:b/>
                <w:color w:val="243447"/>
                <w:sz w:val="18"/>
              </w:rPr>
              <w:t>Project setup</w:t>
            </w:r>
          </w:p>
        </w:tc>
        <w:tc>
          <w:tcPr>
            <w:tcW w:type="dxa" w:w="4550"/>
            <w:shd w:fill="FFFFFF"/>
            <w:tcMar>
              <w:top w:w="80" w:type="dxa"/>
              <w:start w:w="120" w:type="dxa"/>
              <w:bottom w:w="80" w:type="dxa"/>
              <w:end w:w="120" w:type="dxa"/>
            </w:tcMar>
          </w:tcPr>
          <w:p>
            <w:pPr>
              <w:spacing w:after="0"/>
            </w:pPr>
            <w:r>
              <w:rPr>
                <w:rFonts w:ascii="Calibri" w:hAnsi="Calibri"/>
                <w:b w:val="0"/>
                <w:color w:val="243447"/>
                <w:sz w:val="18"/>
              </w:rPr>
              <w:t>Address, city/jurisdiction, trade, work type, scope, project facts, coverage badge</w:t>
            </w:r>
          </w:p>
        </w:tc>
        <w:tc>
          <w:tcPr>
            <w:tcW w:type="dxa" w:w="2360"/>
            <w:shd w:fill="FFFFFF"/>
            <w:tcMar>
              <w:top w:w="80" w:type="dxa"/>
              <w:start w:w="120" w:type="dxa"/>
              <w:bottom w:w="80" w:type="dxa"/>
              <w:end w:w="120" w:type="dxa"/>
            </w:tcMar>
          </w:tcPr>
          <w:p>
            <w:pPr>
              <w:spacing w:after="0"/>
            </w:pPr>
            <w:r>
              <w:rPr>
                <w:rFonts w:ascii="Calibri" w:hAnsi="Calibri"/>
                <w:b w:val="0"/>
                <w:color w:val="243447"/>
                <w:sz w:val="18"/>
              </w:rPr>
              <w:t>Works for every city</w:t>
            </w:r>
          </w:p>
        </w:tc>
      </w:tr>
      <w:tr>
        <w:tc>
          <w:tcPr>
            <w:tcW w:type="dxa" w:w="2450"/>
            <w:shd w:fill="F4F7FA"/>
            <w:tcMar>
              <w:top w:w="80" w:type="dxa"/>
              <w:start w:w="120" w:type="dxa"/>
              <w:bottom w:w="80" w:type="dxa"/>
              <w:end w:w="120" w:type="dxa"/>
            </w:tcMar>
          </w:tcPr>
          <w:p>
            <w:pPr>
              <w:spacing w:after="0"/>
            </w:pPr>
            <w:r>
              <w:rPr>
                <w:rFonts w:ascii="Calibri" w:hAnsi="Calibri"/>
                <w:b/>
                <w:color w:val="243447"/>
                <w:sz w:val="18"/>
              </w:rPr>
              <w:t>City guidance</w:t>
            </w:r>
          </w:p>
        </w:tc>
        <w:tc>
          <w:tcPr>
            <w:tcW w:type="dxa" w:w="4550"/>
            <w:shd w:fill="F4F7FA"/>
            <w:tcMar>
              <w:top w:w="80" w:type="dxa"/>
              <w:start w:w="120" w:type="dxa"/>
              <w:bottom w:w="80" w:type="dxa"/>
              <w:end w:w="120" w:type="dxa"/>
            </w:tcMar>
          </w:tcPr>
          <w:p>
            <w:pPr>
              <w:spacing w:after="0"/>
            </w:pPr>
            <w:r>
              <w:rPr>
                <w:rFonts w:ascii="Calibri" w:hAnsi="Calibri"/>
                <w:b w:val="0"/>
                <w:color w:val="243447"/>
                <w:sz w:val="18"/>
              </w:rPr>
              <w:t>Permit catalog, applicability questions, requirements, sources, portal links, contacts</w:t>
            </w:r>
          </w:p>
        </w:tc>
        <w:tc>
          <w:tcPr>
            <w:tcW w:type="dxa" w:w="2360"/>
            <w:shd w:fill="F4F7FA"/>
            <w:tcMar>
              <w:top w:w="80" w:type="dxa"/>
              <w:start w:w="120" w:type="dxa"/>
              <w:bottom w:w="80" w:type="dxa"/>
              <w:end w:w="120" w:type="dxa"/>
            </w:tcMar>
          </w:tcPr>
          <w:p>
            <w:pPr>
              <w:spacing w:after="0"/>
            </w:pPr>
            <w:r>
              <w:rPr>
                <w:rFonts w:ascii="Calibri" w:hAnsi="Calibri"/>
                <w:b w:val="0"/>
                <w:color w:val="243447"/>
                <w:sz w:val="18"/>
              </w:rPr>
              <w:t>Deepest for Kansas City</w:t>
            </w:r>
          </w:p>
        </w:tc>
      </w:tr>
      <w:tr>
        <w:tc>
          <w:tcPr>
            <w:tcW w:type="dxa" w:w="2450"/>
            <w:shd w:fill="FFFFFF"/>
            <w:tcMar>
              <w:top w:w="80" w:type="dxa"/>
              <w:start w:w="120" w:type="dxa"/>
              <w:bottom w:w="80" w:type="dxa"/>
              <w:end w:w="120" w:type="dxa"/>
            </w:tcMar>
          </w:tcPr>
          <w:p>
            <w:pPr>
              <w:spacing w:after="0"/>
            </w:pPr>
            <w:r>
              <w:rPr>
                <w:rFonts w:ascii="Calibri" w:hAnsi="Calibri"/>
                <w:b/>
                <w:color w:val="243447"/>
                <w:sz w:val="18"/>
              </w:rPr>
              <w:t>Permit workspace</w:t>
            </w:r>
          </w:p>
        </w:tc>
        <w:tc>
          <w:tcPr>
            <w:tcW w:type="dxa" w:w="4550"/>
            <w:shd w:fill="FFFFFF"/>
            <w:tcMar>
              <w:top w:w="80" w:type="dxa"/>
              <w:start w:w="120" w:type="dxa"/>
              <w:bottom w:w="80" w:type="dxa"/>
              <w:end w:w="120" w:type="dxa"/>
            </w:tcMar>
          </w:tcPr>
          <w:p>
            <w:pPr>
              <w:spacing w:after="0"/>
            </w:pPr>
            <w:r>
              <w:rPr>
                <w:rFonts w:ascii="Calibri" w:hAnsi="Calibri"/>
                <w:b w:val="0"/>
                <w:color w:val="243447"/>
                <w:sz w:val="18"/>
              </w:rPr>
              <w:t>Suggested/manual permits, per-permit checklists, statuses, blockers, readiness</w:t>
            </w:r>
          </w:p>
        </w:tc>
        <w:tc>
          <w:tcPr>
            <w:tcW w:type="dxa" w:w="2360"/>
            <w:shd w:fill="FFFFFF"/>
            <w:tcMar>
              <w:top w:w="80" w:type="dxa"/>
              <w:start w:w="120" w:type="dxa"/>
              <w:bottom w:w="80" w:type="dxa"/>
              <w:end w:w="120" w:type="dxa"/>
            </w:tcMar>
          </w:tcPr>
          <w:p>
            <w:pPr>
              <w:spacing w:after="0"/>
            </w:pPr>
            <w:r>
              <w:rPr>
                <w:rFonts w:ascii="Calibri" w:hAnsi="Calibri"/>
                <w:b w:val="0"/>
                <w:color w:val="243447"/>
                <w:sz w:val="18"/>
              </w:rPr>
              <w:t>Local accuracy follows city pack</w:t>
            </w:r>
          </w:p>
        </w:tc>
      </w:tr>
      <w:tr>
        <w:tc>
          <w:tcPr>
            <w:tcW w:type="dxa" w:w="2450"/>
            <w:shd w:fill="F4F7FA"/>
            <w:tcMar>
              <w:top w:w="80" w:type="dxa"/>
              <w:start w:w="120" w:type="dxa"/>
              <w:bottom w:w="80" w:type="dxa"/>
              <w:end w:w="120" w:type="dxa"/>
            </w:tcMar>
          </w:tcPr>
          <w:p>
            <w:pPr>
              <w:spacing w:after="0"/>
            </w:pPr>
            <w:r>
              <w:rPr>
                <w:rFonts w:ascii="Calibri" w:hAnsi="Calibri"/>
                <w:b/>
                <w:color w:val="243447"/>
                <w:sz w:val="18"/>
              </w:rPr>
              <w:t>Documents</w:t>
            </w:r>
          </w:p>
        </w:tc>
        <w:tc>
          <w:tcPr>
            <w:tcW w:type="dxa" w:w="4550"/>
            <w:shd w:fill="F4F7FA"/>
            <w:tcMar>
              <w:top w:w="80" w:type="dxa"/>
              <w:start w:w="120" w:type="dxa"/>
              <w:bottom w:w="80" w:type="dxa"/>
              <w:end w:w="120" w:type="dxa"/>
            </w:tcMar>
          </w:tcPr>
          <w:p>
            <w:pPr>
              <w:spacing w:after="0"/>
            </w:pPr>
            <w:r>
              <w:rPr>
                <w:rFonts w:ascii="Calibri" w:hAnsi="Calibri"/>
                <w:b w:val="0"/>
                <w:color w:val="243447"/>
                <w:sz w:val="18"/>
              </w:rPr>
              <w:t>Upload, preview, categorize, version, connect to requirements, export bundle</w:t>
            </w:r>
          </w:p>
        </w:tc>
        <w:tc>
          <w:tcPr>
            <w:tcW w:type="dxa" w:w="2360"/>
            <w:shd w:fill="F4F7FA"/>
            <w:tcMar>
              <w:top w:w="80" w:type="dxa"/>
              <w:start w:w="120" w:type="dxa"/>
              <w:bottom w:w="80" w:type="dxa"/>
              <w:end w:w="120" w:type="dxa"/>
            </w:tcMar>
          </w:tcPr>
          <w:p>
            <w:pPr>
              <w:spacing w:after="0"/>
            </w:pPr>
            <w:r>
              <w:rPr>
                <w:rFonts w:ascii="Calibri" w:hAnsi="Calibri"/>
                <w:b w:val="0"/>
                <w:color w:val="243447"/>
                <w:sz w:val="18"/>
              </w:rPr>
              <w:t>Works for every city</w:t>
            </w:r>
          </w:p>
        </w:tc>
      </w:tr>
      <w:tr>
        <w:tc>
          <w:tcPr>
            <w:tcW w:type="dxa" w:w="2450"/>
            <w:shd w:fill="FFFFFF"/>
            <w:tcMar>
              <w:top w:w="80" w:type="dxa"/>
              <w:start w:w="120" w:type="dxa"/>
              <w:bottom w:w="80" w:type="dxa"/>
              <w:end w:w="120" w:type="dxa"/>
            </w:tcMar>
          </w:tcPr>
          <w:p>
            <w:pPr>
              <w:spacing w:after="0"/>
            </w:pPr>
            <w:r>
              <w:rPr>
                <w:rFonts w:ascii="Calibri" w:hAnsi="Calibri"/>
                <w:b/>
                <w:color w:val="243447"/>
                <w:sz w:val="18"/>
              </w:rPr>
              <w:t>Intelligent review</w:t>
            </w:r>
          </w:p>
        </w:tc>
        <w:tc>
          <w:tcPr>
            <w:tcW w:type="dxa" w:w="4550"/>
            <w:shd w:fill="FFFFFF"/>
            <w:tcMar>
              <w:top w:w="80" w:type="dxa"/>
              <w:start w:w="120" w:type="dxa"/>
              <w:bottom w:w="80" w:type="dxa"/>
              <w:end w:w="120" w:type="dxa"/>
            </w:tcMar>
          </w:tcPr>
          <w:p>
            <w:pPr>
              <w:spacing w:after="0"/>
            </w:pPr>
            <w:r>
              <w:rPr>
                <w:rFonts w:ascii="Calibri" w:hAnsi="Calibri"/>
                <w:b w:val="0"/>
                <w:color w:val="243447"/>
                <w:sz w:val="18"/>
              </w:rPr>
              <w:t>Fact extraction, missing-item and inconsistency flags, human confirmation, explanations</w:t>
            </w:r>
          </w:p>
        </w:tc>
        <w:tc>
          <w:tcPr>
            <w:tcW w:type="dxa" w:w="2360"/>
            <w:shd w:fill="FFFFFF"/>
            <w:tcMar>
              <w:top w:w="80" w:type="dxa"/>
              <w:start w:w="120" w:type="dxa"/>
              <w:bottom w:w="80" w:type="dxa"/>
              <w:end w:w="120" w:type="dxa"/>
            </w:tcMar>
          </w:tcPr>
          <w:p>
            <w:pPr>
              <w:spacing w:after="0"/>
            </w:pPr>
            <w:r>
              <w:rPr>
                <w:rFonts w:ascii="Calibri" w:hAnsi="Calibri"/>
                <w:b w:val="0"/>
                <w:color w:val="243447"/>
                <w:sz w:val="18"/>
              </w:rPr>
              <w:t>Limited to tested file types and rules</w:t>
            </w:r>
          </w:p>
        </w:tc>
      </w:tr>
      <w:tr>
        <w:tc>
          <w:tcPr>
            <w:tcW w:type="dxa" w:w="2450"/>
            <w:shd w:fill="F4F7FA"/>
            <w:tcMar>
              <w:top w:w="80" w:type="dxa"/>
              <w:start w:w="120" w:type="dxa"/>
              <w:bottom w:w="80" w:type="dxa"/>
              <w:end w:w="120" w:type="dxa"/>
            </w:tcMar>
          </w:tcPr>
          <w:p>
            <w:pPr>
              <w:spacing w:after="0"/>
            </w:pPr>
            <w:r>
              <w:rPr>
                <w:rFonts w:ascii="Calibri" w:hAnsi="Calibri"/>
                <w:b/>
                <w:color w:val="243447"/>
                <w:sz w:val="18"/>
              </w:rPr>
              <w:t>Collaboration</w:t>
            </w:r>
          </w:p>
        </w:tc>
        <w:tc>
          <w:tcPr>
            <w:tcW w:type="dxa" w:w="4550"/>
            <w:shd w:fill="F4F7FA"/>
            <w:tcMar>
              <w:top w:w="80" w:type="dxa"/>
              <w:start w:w="120" w:type="dxa"/>
              <w:bottom w:w="80" w:type="dxa"/>
              <w:end w:w="120" w:type="dxa"/>
            </w:tcMar>
          </w:tcPr>
          <w:p>
            <w:pPr>
              <w:spacing w:after="0"/>
            </w:pPr>
            <w:r>
              <w:rPr>
                <w:rFonts w:ascii="Calibri" w:hAnsi="Calibri"/>
                <w:b w:val="0"/>
                <w:color w:val="243447"/>
                <w:sz w:val="18"/>
              </w:rPr>
              <w:t>Comments, replies, tasks, owners, due dates, activity history, notifications</w:t>
            </w:r>
          </w:p>
        </w:tc>
        <w:tc>
          <w:tcPr>
            <w:tcW w:type="dxa" w:w="2360"/>
            <w:shd w:fill="F4F7FA"/>
            <w:tcMar>
              <w:top w:w="80" w:type="dxa"/>
              <w:start w:w="120" w:type="dxa"/>
              <w:bottom w:w="80" w:type="dxa"/>
              <w:end w:w="120" w:type="dxa"/>
            </w:tcMar>
          </w:tcPr>
          <w:p>
            <w:pPr>
              <w:spacing w:after="0"/>
            </w:pPr>
            <w:r>
              <w:rPr>
                <w:rFonts w:ascii="Calibri" w:hAnsi="Calibri"/>
                <w:b w:val="0"/>
                <w:color w:val="243447"/>
                <w:sz w:val="18"/>
              </w:rPr>
              <w:t>Works for every city</w:t>
            </w:r>
          </w:p>
        </w:tc>
      </w:tr>
      <w:tr>
        <w:tc>
          <w:tcPr>
            <w:tcW w:type="dxa" w:w="2450"/>
            <w:shd w:fill="FFFFFF"/>
            <w:tcMar>
              <w:top w:w="80" w:type="dxa"/>
              <w:start w:w="120" w:type="dxa"/>
              <w:bottom w:w="80" w:type="dxa"/>
              <w:end w:w="120" w:type="dxa"/>
            </w:tcMar>
          </w:tcPr>
          <w:p>
            <w:pPr>
              <w:spacing w:after="0"/>
            </w:pPr>
            <w:r>
              <w:rPr>
                <w:rFonts w:ascii="Calibri" w:hAnsi="Calibri"/>
                <w:b/>
                <w:color w:val="243447"/>
                <w:sz w:val="18"/>
              </w:rPr>
              <w:t>Lifecycle</w:t>
            </w:r>
          </w:p>
        </w:tc>
        <w:tc>
          <w:tcPr>
            <w:tcW w:type="dxa" w:w="4550"/>
            <w:shd w:fill="FFFFFF"/>
            <w:tcMar>
              <w:top w:w="80" w:type="dxa"/>
              <w:start w:w="120" w:type="dxa"/>
              <w:bottom w:w="80" w:type="dxa"/>
              <w:end w:w="120" w:type="dxa"/>
            </w:tcMar>
          </w:tcPr>
          <w:p>
            <w:pPr>
              <w:spacing w:after="0"/>
            </w:pPr>
            <w:r>
              <w:rPr>
                <w:rFonts w:ascii="Calibri" w:hAnsi="Calibri"/>
                <w:b w:val="0"/>
                <w:color w:val="243447"/>
                <w:sz w:val="18"/>
              </w:rPr>
              <w:t>Submission tracking, reference numbers, follow-ups, corrections, resubmissions, issuance</w:t>
            </w:r>
          </w:p>
        </w:tc>
        <w:tc>
          <w:tcPr>
            <w:tcW w:type="dxa" w:w="2360"/>
            <w:shd w:fill="FFFFFF"/>
            <w:tcMar>
              <w:top w:w="80" w:type="dxa"/>
              <w:start w:w="120" w:type="dxa"/>
              <w:bottom w:w="80" w:type="dxa"/>
              <w:end w:w="120" w:type="dxa"/>
            </w:tcMar>
          </w:tcPr>
          <w:p>
            <w:pPr>
              <w:spacing w:after="0"/>
            </w:pPr>
            <w:r>
              <w:rPr>
                <w:rFonts w:ascii="Calibri" w:hAnsi="Calibri"/>
                <w:b w:val="0"/>
                <w:color w:val="243447"/>
                <w:sz w:val="18"/>
              </w:rPr>
              <w:t>Generic everywhere; locally guided where validated</w:t>
            </w:r>
          </w:p>
        </w:tc>
      </w:tr>
      <w:tr>
        <w:tc>
          <w:tcPr>
            <w:tcW w:type="dxa" w:w="2450"/>
            <w:shd w:fill="F4F7FA"/>
            <w:tcMar>
              <w:top w:w="80" w:type="dxa"/>
              <w:start w:w="120" w:type="dxa"/>
              <w:bottom w:w="80" w:type="dxa"/>
              <w:end w:w="120" w:type="dxa"/>
            </w:tcMar>
          </w:tcPr>
          <w:p>
            <w:pPr>
              <w:spacing w:after="0"/>
            </w:pPr>
            <w:r>
              <w:rPr>
                <w:rFonts w:ascii="Calibri" w:hAnsi="Calibri"/>
                <w:b/>
                <w:color w:val="243447"/>
                <w:sz w:val="18"/>
              </w:rPr>
              <w:t>Inspections</w:t>
            </w:r>
          </w:p>
        </w:tc>
        <w:tc>
          <w:tcPr>
            <w:tcW w:type="dxa" w:w="4550"/>
            <w:shd w:fill="F4F7FA"/>
            <w:tcMar>
              <w:top w:w="80" w:type="dxa"/>
              <w:start w:w="120" w:type="dxa"/>
              <w:bottom w:w="80" w:type="dxa"/>
              <w:end w:w="120" w:type="dxa"/>
            </w:tcMar>
          </w:tcPr>
          <w:p>
            <w:pPr>
              <w:spacing w:after="0"/>
            </w:pPr>
            <w:r>
              <w:rPr>
                <w:rFonts w:ascii="Calibri" w:hAnsi="Calibri"/>
                <w:b w:val="0"/>
                <w:color w:val="243447"/>
                <w:sz w:val="18"/>
              </w:rPr>
              <w:t>Expected inspections, scheduling record, results, attachments, reinspections, closeout</w:t>
            </w:r>
          </w:p>
        </w:tc>
        <w:tc>
          <w:tcPr>
            <w:tcW w:type="dxa" w:w="2360"/>
            <w:shd w:fill="F4F7FA"/>
            <w:tcMar>
              <w:top w:w="80" w:type="dxa"/>
              <w:start w:w="120" w:type="dxa"/>
              <w:bottom w:w="80" w:type="dxa"/>
              <w:end w:w="120" w:type="dxa"/>
            </w:tcMar>
          </w:tcPr>
          <w:p>
            <w:pPr>
              <w:spacing w:after="0"/>
            </w:pPr>
            <w:r>
              <w:rPr>
                <w:rFonts w:ascii="Calibri" w:hAnsi="Calibri"/>
                <w:b w:val="0"/>
                <w:color w:val="243447"/>
                <w:sz w:val="18"/>
              </w:rPr>
              <w:t>Local list follows city pack</w:t>
            </w:r>
          </w:p>
        </w:tc>
      </w:tr>
      <w:tr>
        <w:tc>
          <w:tcPr>
            <w:tcW w:type="dxa" w:w="2450"/>
            <w:shd w:fill="FFFFFF"/>
            <w:tcMar>
              <w:top w:w="80" w:type="dxa"/>
              <w:start w:w="120" w:type="dxa"/>
              <w:bottom w:w="80" w:type="dxa"/>
              <w:end w:w="120" w:type="dxa"/>
            </w:tcMar>
          </w:tcPr>
          <w:p>
            <w:pPr>
              <w:spacing w:after="0"/>
            </w:pPr>
            <w:r>
              <w:rPr>
                <w:rFonts w:ascii="Calibri" w:hAnsi="Calibri"/>
                <w:b/>
                <w:color w:val="243447"/>
                <w:sz w:val="18"/>
              </w:rPr>
              <w:t>Reports</w:t>
            </w:r>
          </w:p>
        </w:tc>
        <w:tc>
          <w:tcPr>
            <w:tcW w:type="dxa" w:w="4550"/>
            <w:shd w:fill="FFFFFF"/>
            <w:tcMar>
              <w:top w:w="80" w:type="dxa"/>
              <w:start w:w="120" w:type="dxa"/>
              <w:bottom w:w="80" w:type="dxa"/>
              <w:end w:w="120" w:type="dxa"/>
            </w:tcMar>
          </w:tcPr>
          <w:p>
            <w:pPr>
              <w:spacing w:after="0"/>
            </w:pPr>
            <w:r>
              <w:rPr>
                <w:rFonts w:ascii="Calibri" w:hAnsi="Calibri"/>
                <w:b w:val="0"/>
                <w:color w:val="243447"/>
                <w:sz w:val="18"/>
              </w:rPr>
              <w:t>Readiness summary, unresolved issues, package index, activity and closeout export</w:t>
            </w:r>
          </w:p>
        </w:tc>
        <w:tc>
          <w:tcPr>
            <w:tcW w:type="dxa" w:w="2360"/>
            <w:shd w:fill="FFFFFF"/>
            <w:tcMar>
              <w:top w:w="80" w:type="dxa"/>
              <w:start w:w="120" w:type="dxa"/>
              <w:bottom w:w="80" w:type="dxa"/>
              <w:end w:w="120" w:type="dxa"/>
            </w:tcMar>
          </w:tcPr>
          <w:p>
            <w:pPr>
              <w:spacing w:after="0"/>
            </w:pPr>
            <w:r>
              <w:rPr>
                <w:rFonts w:ascii="Calibri" w:hAnsi="Calibri"/>
                <w:b w:val="0"/>
                <w:color w:val="243447"/>
                <w:sz w:val="18"/>
              </w:rPr>
              <w:t>Works for every city</w:t>
            </w:r>
          </w:p>
        </w:tc>
      </w:tr>
      <w:tr>
        <w:tc>
          <w:tcPr>
            <w:tcW w:type="dxa" w:w="2450"/>
            <w:shd w:fill="F4F7FA"/>
            <w:tcMar>
              <w:top w:w="80" w:type="dxa"/>
              <w:start w:w="120" w:type="dxa"/>
              <w:bottom w:w="80" w:type="dxa"/>
              <w:end w:w="120" w:type="dxa"/>
            </w:tcMar>
          </w:tcPr>
          <w:p>
            <w:pPr>
              <w:spacing w:after="0"/>
            </w:pPr>
            <w:r>
              <w:rPr>
                <w:rFonts w:ascii="Calibri" w:hAnsi="Calibri"/>
                <w:b/>
                <w:color w:val="243447"/>
                <w:sz w:val="18"/>
              </w:rPr>
              <w:t>Feedback and administration</w:t>
            </w:r>
          </w:p>
        </w:tc>
        <w:tc>
          <w:tcPr>
            <w:tcW w:type="dxa" w:w="4550"/>
            <w:shd w:fill="F4F7FA"/>
            <w:tcMar>
              <w:top w:w="80" w:type="dxa"/>
              <w:start w:w="120" w:type="dxa"/>
              <w:bottom w:w="80" w:type="dxa"/>
              <w:end w:w="120" w:type="dxa"/>
            </w:tcMar>
          </w:tcPr>
          <w:p>
            <w:pPr>
              <w:spacing w:after="0"/>
            </w:pPr>
            <w:r>
              <w:rPr>
                <w:rFonts w:ascii="Calibri" w:hAnsi="Calibri"/>
                <w:b w:val="0"/>
                <w:color w:val="243447"/>
                <w:sz w:val="18"/>
              </w:rPr>
              <w:t>Flag incorrect guidance, source date, coverage status, city/trade content maintenance</w:t>
            </w:r>
          </w:p>
        </w:tc>
        <w:tc>
          <w:tcPr>
            <w:tcW w:type="dxa" w:w="2360"/>
            <w:shd w:fill="F4F7FA"/>
            <w:tcMar>
              <w:top w:w="80" w:type="dxa"/>
              <w:start w:w="120" w:type="dxa"/>
              <w:bottom w:w="80" w:type="dxa"/>
              <w:end w:w="120" w:type="dxa"/>
            </w:tcMar>
          </w:tcPr>
          <w:p>
            <w:pPr>
              <w:spacing w:after="0"/>
            </w:pPr>
            <w:r>
              <w:rPr>
                <w:rFonts w:ascii="Calibri" w:hAnsi="Calibri"/>
                <w:b w:val="0"/>
                <w:color w:val="243447"/>
                <w:sz w:val="18"/>
              </w:rPr>
              <w:t>Required for safe expansion</w:t>
            </w:r>
          </w:p>
        </w:tc>
      </w:tr>
    </w:tbl>
    <w:p>
      <w:pPr>
        <w:pStyle w:val="Heading1"/>
        <w:keepNext/>
      </w:pPr>
      <w:r>
        <w:t>What is deliberately not required for this MVP</w:t>
      </w:r>
    </w:p>
    <w:p>
      <w:pPr>
        <w:pStyle w:val="ListBullet"/>
        <w:spacing w:after="80" w:line="300" w:lineRule="auto"/>
      </w:pPr>
      <w:r>
        <w:rPr>
          <w:rFonts w:ascii="Calibri" w:hAnsi="Calibri"/>
          <w:color w:val="243447"/>
          <w:sz w:val="22"/>
        </w:rPr>
        <w:t>Automatic submission into every government portal.</w:t>
      </w:r>
    </w:p>
    <w:p>
      <w:pPr>
        <w:pStyle w:val="ListBullet"/>
        <w:spacing w:after="80" w:line="300" w:lineRule="auto"/>
      </w:pPr>
      <w:r>
        <w:rPr>
          <w:rFonts w:ascii="Calibri" w:hAnsi="Calibri"/>
          <w:color w:val="243447"/>
          <w:sz w:val="22"/>
        </w:rPr>
        <w:t>Handling payments, legal signatures, or contractor licensing transactions.</w:t>
      </w:r>
    </w:p>
    <w:p>
      <w:pPr>
        <w:pStyle w:val="ListBullet"/>
        <w:spacing w:after="80" w:line="300" w:lineRule="auto"/>
      </w:pPr>
      <w:r>
        <w:rPr>
          <w:rFonts w:ascii="Calibri" w:hAnsi="Calibri"/>
          <w:color w:val="243447"/>
          <w:sz w:val="22"/>
        </w:rPr>
        <w:t>Guaranteed permit approval or replacement of licensed professionals, code officials, or legal advice.</w:t>
      </w:r>
    </w:p>
    <w:p>
      <w:pPr>
        <w:pStyle w:val="ListBullet"/>
        <w:spacing w:after="80" w:line="300" w:lineRule="auto"/>
      </w:pPr>
      <w:r>
        <w:rPr>
          <w:rFonts w:ascii="Calibri" w:hAnsi="Calibri"/>
          <w:color w:val="243447"/>
          <w:sz w:val="22"/>
        </w:rPr>
        <w:t>Fully validated guidance for every city and every permit type.</w:t>
      </w:r>
    </w:p>
    <w:p>
      <w:pPr>
        <w:pStyle w:val="ListBullet"/>
        <w:spacing w:after="80" w:line="300" w:lineRule="auto"/>
      </w:pPr>
      <w:r>
        <w:rPr>
          <w:rFonts w:ascii="Calibri" w:hAnsi="Calibri"/>
          <w:color w:val="243447"/>
          <w:sz w:val="22"/>
        </w:rPr>
        <w:t>A separate custom application for each trade or customer.</w:t>
      </w:r>
    </w:p>
    <w:p>
      <w:pPr>
        <w:pStyle w:val="ListBullet"/>
        <w:spacing w:after="80" w:line="300" w:lineRule="auto"/>
      </w:pPr>
      <w:r>
        <w:rPr>
          <w:rFonts w:ascii="Calibri" w:hAnsi="Calibri"/>
          <w:color w:val="243447"/>
          <w:sz w:val="22"/>
        </w:rPr>
        <w:t>Enterprise integrations, complex billing, white-labeling, or nationwide sales infrastructure.</w:t>
      </w:r>
    </w:p>
    <w:p>
      <w:pPr>
        <w:pStyle w:val="Heading1"/>
        <w:keepNext/>
      </w:pPr>
      <w:r>
        <w:t>How a second city is added after the MVP</w:t>
      </w:r>
    </w:p>
    <w:p>
      <w:pPr>
        <w:pStyle w:val="ListNumber"/>
        <w:spacing w:after="80" w:line="300" w:lineRule="auto"/>
      </w:pPr>
      <w:r>
        <w:rPr>
          <w:rFonts w:ascii="Calibri" w:hAnsi="Calibri"/>
          <w:color w:val="243447"/>
          <w:sz w:val="22"/>
        </w:rPr>
        <w:t>Create the city identity and jurisdiction boundaries.</w:t>
      </w:r>
    </w:p>
    <w:p>
      <w:pPr>
        <w:pStyle w:val="ListNumber"/>
        <w:spacing w:after="80" w:line="300" w:lineRule="auto"/>
      </w:pPr>
      <w:r>
        <w:rPr>
          <w:rFonts w:ascii="Calibri" w:hAnsi="Calibri"/>
          <w:color w:val="243447"/>
          <w:sz w:val="22"/>
        </w:rPr>
        <w:t>Collect official sources, portal links, departments, contacts, and update dates.</w:t>
      </w:r>
    </w:p>
    <w:p>
      <w:pPr>
        <w:pStyle w:val="ListNumber"/>
        <w:spacing w:after="80" w:line="300" w:lineRule="auto"/>
      </w:pPr>
      <w:r>
        <w:rPr>
          <w:rFonts w:ascii="Calibri" w:hAnsi="Calibri"/>
          <w:color w:val="243447"/>
          <w:sz w:val="22"/>
        </w:rPr>
        <w:t>Prioritize one or two high-frequency trade workflows based on local interviews.</w:t>
      </w:r>
    </w:p>
    <w:p>
      <w:pPr>
        <w:pStyle w:val="ListNumber"/>
        <w:spacing w:after="80" w:line="300" w:lineRule="auto"/>
      </w:pPr>
      <w:r>
        <w:rPr>
          <w:rFonts w:ascii="Calibri" w:hAnsi="Calibri"/>
          <w:color w:val="243447"/>
          <w:sz w:val="22"/>
        </w:rPr>
        <w:t>Build permit questions, requirement checklists, lifecycle stages, and inspection guidance using the same product structure.</w:t>
      </w:r>
    </w:p>
    <w:p>
      <w:pPr>
        <w:pStyle w:val="ListNumber"/>
        <w:spacing w:after="80" w:line="300" w:lineRule="auto"/>
      </w:pPr>
      <w:r>
        <w:rPr>
          <w:rFonts w:ascii="Calibri" w:hAnsi="Calibri"/>
          <w:color w:val="243447"/>
          <w:sz w:val="22"/>
        </w:rPr>
        <w:t>Test representative project scenarios and obtain local/domain review.</w:t>
      </w:r>
    </w:p>
    <w:p>
      <w:pPr>
        <w:pStyle w:val="ListNumber"/>
        <w:spacing w:after="80" w:line="300" w:lineRule="auto"/>
      </w:pPr>
      <w:r>
        <w:rPr>
          <w:rFonts w:ascii="Calibri" w:hAnsi="Calibri"/>
          <w:color w:val="243447"/>
          <w:sz w:val="22"/>
        </w:rPr>
        <w:t>Launch with an honest coverage label, then expand the pack from pilot evidence.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line="288" w:lineRule="auto"/>
            </w:pPr>
            <w:r>
              <w:rPr>
                <w:rFonts w:ascii="Calibri" w:hAnsi="Calibri"/>
                <w:b/>
                <w:color w:val="2E6B57"/>
                <w:sz w:val="21"/>
              </w:rPr>
              <w:t xml:space="preserve">Final product position: </w:t>
            </w:r>
            <w:r>
              <w:rPr>
                <w:rFonts w:ascii="Calibri" w:hAnsi="Calibri"/>
                <w:color w:val="243447"/>
                <w:sz w:val="21"/>
              </w:rPr>
              <w:t>EstatePermit is one permitting operating system with reusable city and trade knowledge - not a Kansas City-only application and not a collection of custom apps. Kansas City is the proof market where the team earns trust, customers, and evidence before repeating the model elsewhere.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6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673"/>
        <w:sz w:val="18"/>
      </w:rPr>
      <w:t>EstatePermit  |  MVP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1037"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