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center"/>
        <w:rPr>
          <w:b w:val="0"/>
          <w:i w:val="1"/>
          <w:sz w:val="40"/>
          <w:szCs w:val="40"/>
        </w:rPr>
      </w:pPr>
      <w:bookmarkStart w:colFirst="0" w:colLast="0" w:name="_pkfeyge7i8x2" w:id="0"/>
      <w:bookmarkEnd w:id="0"/>
      <w:r w:rsidDel="00000000" w:rsidR="00000000" w:rsidRPr="00000000">
        <w:rPr>
          <w:b w:val="0"/>
          <w:i w:val="1"/>
          <w:sz w:val="40"/>
          <w:szCs w:val="40"/>
          <w:rtl w:val="0"/>
        </w:rPr>
        <w:t xml:space="preserve">ASSIGNMENT 03</w:t>
      </w:r>
    </w:p>
    <w:p w:rsidR="00000000" w:rsidDel="00000000" w:rsidP="00000000" w:rsidRDefault="00000000" w:rsidRPr="00000000" w14:paraId="00000002">
      <w:pPr>
        <w:pStyle w:val="Heading1"/>
        <w:spacing w:after="140" w:line="276" w:lineRule="auto"/>
        <w:jc w:val="center"/>
        <w:rPr>
          <w:sz w:val="40"/>
          <w:szCs w:val="40"/>
          <w:u w:val="single"/>
          <w:vertAlign w:val="baseline"/>
        </w:rPr>
      </w:pPr>
      <w:bookmarkStart w:colFirst="0" w:colLast="0" w:name="_z6isv2qemr1k" w:id="1"/>
      <w:bookmarkEnd w:id="1"/>
      <w:r w:rsidDel="00000000" w:rsidR="00000000" w:rsidRPr="00000000">
        <w:rPr>
          <w:sz w:val="40"/>
          <w:szCs w:val="40"/>
          <w:u w:val="single"/>
          <w:vertAlign w:val="baseline"/>
          <w:rtl w:val="0"/>
        </w:rPr>
        <w:t xml:space="preserve">ANALYSIS &amp; APPLICATION OF STARTUP FINANCIAL STRATEGIES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  <w:t xml:space="preserve">Student Name: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Muhammad Tahir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Roll Number: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K214503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Date: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Sunday, April 20, 2025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 INTRODUCTION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This report analyzes the financial strategies of Ikhwa Tech, a software startup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focused on innovative software solutions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co-founded by Sir Abdul Qadir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interview covered their funding, cost management, pricing, and scaling decisions. We will: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Compare their approach with Software Engineering Economics (SEE) principles.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ii.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Suggest improvements based on cost models (COCOMO), ROI, and budgeting.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 ANALYSIS: IKHWA TECH VS. SEE PRINCIPLES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 FUNDING &amp; BUDGETING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  <w:t xml:space="preserve">Ikhwa Tech’s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142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personal savings, angel investors.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142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allocation: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38" w:right="0" w:hanging="283.000000000000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45% → Product development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38" w:right="0" w:hanging="283.000000000000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 → Hiring engineers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2138" w:right="0" w:hanging="283.000000000000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25% → Pilot testing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 with SEE Principles: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 recommends a structured project estimation process, resource allocation based on work breakdown structures (WBS), and life-cycle costing across planning, development, and maintenance.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19820" cy="163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Gaps in Funding and Budgeting: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tabs>
          <w:tab w:val="left" w:leader="none" w:pos="0"/>
        </w:tabs>
        <w:spacing w:after="140" w:line="276" w:lineRule="auto"/>
        <w:ind w:left="709" w:hanging="28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formal cost estimation (e.g., COCOMO or Function Point Analysis).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tabs>
          <w:tab w:val="left" w:leader="none" w:pos="0"/>
        </w:tabs>
        <w:spacing w:after="140" w:line="276" w:lineRule="auto"/>
        <w:ind w:left="709" w:hanging="28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historical data or analogous estimation used.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tabs>
          <w:tab w:val="left" w:leader="none" w:pos="0"/>
        </w:tabs>
        <w:spacing w:after="140" w:line="276" w:lineRule="auto"/>
        <w:ind w:left="709" w:hanging="28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Lack of cost tracking tools to monitor actual vs. estimated budgets.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tabs>
          <w:tab w:val="left" w:leader="none" w:pos="0"/>
        </w:tabs>
        <w:spacing w:after="140" w:line="276" w:lineRule="auto"/>
        <w:ind w:left="709" w:hanging="28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Staff hired were mostly fresh graduates (COCOMO considers team capability as a factor).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 COST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Ikhwa Tech’s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Outsourced marketing &amp; non-core tasks.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open-source tools and negotiated cloud discounts or used Free APIs to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tabs>
          <w:tab w:val="left" w:leader="none" w:pos="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Agile sprints used to control scope and budget iteratively.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tabs>
          <w:tab w:val="left" w:leader="none" w:pos="0"/>
        </w:tabs>
        <w:spacing w:after="1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Negotiated discounts on cloud services.</w:t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 with SEE Principles: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19820" cy="194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Gaps in Cost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tabs>
          <w:tab w:val="left" w:leader="none" w:pos="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contingency or buffer budget for unforeseen risks (recommended: 10–15%).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tabs>
          <w:tab w:val="left" w:leader="none" w:pos="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formal risk management plan for vendor failure or scope creep.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tabs>
          <w:tab w:val="left" w:leader="none" w:pos="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cost baseline defined to measure variances.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tabs>
          <w:tab w:val="left" w:leader="none" w:pos="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economic analysis to compare outsourcing vs. in-house execution long-term.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tabs>
          <w:tab w:val="left" w:leader="none" w:pos="0"/>
        </w:tabs>
        <w:spacing w:after="1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reuse strategy or component-based cost reduction, a key SEE recommendation.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2.3 PRICING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0"/>
        </w:tabs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Ikhwa Tech develops large, modular software systems primarily tailored for enterprise use. These solutions follow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component-based model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where client companies can select and purchase only the modules relevant to their operations—similar to customizable CRM platforms.</w:t>
      </w:r>
    </w:p>
    <w:p w:rsidR="00000000" w:rsidDel="00000000" w:rsidP="00000000" w:rsidRDefault="00000000" w:rsidRPr="00000000" w14:paraId="00000033">
      <w:pPr>
        <w:tabs>
          <w:tab w:val="left" w:leader="none" w:pos="0"/>
        </w:tabs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Available modules include: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tabs>
          <w:tab w:val="left" w:leader="none" w:pos="0"/>
        </w:tabs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Financing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Tools for budgeting, invoicing, and financial reporting.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tabs>
          <w:tab w:val="left" w:leader="none" w:pos="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Operations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Workflow optimization, task tracking, and resource planning.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tabs>
          <w:tab w:val="left" w:leader="none" w:pos="0"/>
        </w:tabs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Aviation-Specific Functions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Modules designed for flight operations, scheduling, compliance, and aviation logistics.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 with SEE Principles: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1982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Gaps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Pricing 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left" w:leader="none" w:pos="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formal ROI calculation for pricing tiers.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leader="none" w:pos="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price sensitivity analysis or competitor benchmarking.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leader="none" w:pos="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Lack of modeling on how pricing affects market penetration and churn.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leader="none" w:pos="0"/>
        </w:tabs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scenario analysis for future revenue streams.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leader="none" w:pos="0"/>
        </w:tabs>
        <w:spacing w:after="1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consideration of software license vs. subscription model trade-offs.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 SCALING &amp;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Ikhwa Tech’s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Early investments came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family and friends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many of whom were affiliated with companies operating outside Pakistan, particularly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UAE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which provided not only capital but also potential business networks for future expansion.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(AWS) saved 30% costs and handled traffic spikes.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 with SEE Principles: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119820" cy="1739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Gaps in Scaling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Investment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long-term cost analysis (Cloud vs. On-Premise).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tabs>
          <w:tab w:val="left" w:leader="none" w:pos="0"/>
        </w:tabs>
        <w:spacing w:after="0" w:afterAutospacing="0" w:before="0" w:beforeAutospacing="0" w:line="276" w:lineRule="auto"/>
        <w:ind w:left="709" w:hanging="283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DevOps or infrastructure automation costs considered in growth forecasts.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tabs>
          <w:tab w:val="left" w:leader="none" w:pos="0"/>
        </w:tabs>
        <w:spacing w:after="0" w:afterAutospacing="0" w:before="0" w:beforeAutospacing="0" w:line="276" w:lineRule="auto"/>
        <w:ind w:left="709" w:hanging="283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technical debt budgeting as they scale features rapidly.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tabs>
          <w:tab w:val="left" w:leader="none" w:pos="0"/>
        </w:tabs>
        <w:spacing w:after="240" w:before="0" w:beforeAutospacing="0" w:line="276" w:lineRule="auto"/>
        <w:ind w:left="709" w:hanging="28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alignment of global expansion (e.g., UAE links) with product localization or compliance planning.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 RECOMMENDATIONS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Budget Allocation Comparison: Ikhwa Tech vs. SEE Recommendations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2781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graph clearly highlights where Ikhwa Tech is over- or under-investing compared to SEE best practices. Notably: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Overallocated to Pilot Testing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Development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allocation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Risk/Contingency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 Tracking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Documentation &amp; QA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SEE best practices, Ikhwa Tech should: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 Use COCOMO for Cost Estimation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1429" w:right="0" w:firstLine="10.99999999999994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Effort = a × (KLOC)^b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If MVP = 10,000 LOC, calculate exact dev effort and cost.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 Add a Risk Budget (10–15%)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Covers delays, outsourcing failures, payment issues.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 Calculate ROI for Pricing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1429" w:right="0" w:firstLine="10.99999999999994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ROI = (Net Profit / Investment Cost) × 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Mid-tier costs $50 K but earns $20 K/month → ROI = 300% in 3 months.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 Compare Cloud vs. On-Premise Costs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tabs>
          <w:tab w:val="left" w:leader="none" w:pos="0"/>
        </w:tabs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5-year projection to compare hosting options.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tabs>
          <w:tab w:val="left" w:leader="none" w:pos="0"/>
        </w:tabs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operational, maintenance, and downtime costs.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tabs>
          <w:tab w:val="left" w:leader="none" w:pos="0"/>
        </w:tabs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4v0opsd6ko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Adopt Cost Tracking Tools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tabs>
          <w:tab w:val="left" w:leader="none" w:pos="0"/>
        </w:tabs>
        <w:spacing w:after="24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 budgeting tools (e.g., Jira + Cost tracker, or Costlocker) for real-time financial visibility.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tabs>
          <w:tab w:val="left" w:leader="none" w:pos="0"/>
        </w:tabs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8rdcy59l1lp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3.6 Improve Hiring Strategy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tabs>
          <w:tab w:val="left" w:leader="none" w:pos="0"/>
        </w:tabs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Mix junior and senior talent to balance costs with experience.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tabs>
          <w:tab w:val="left" w:leader="none" w:pos="0"/>
        </w:tabs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productivity multipliers in estimation models based on team composition.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 CONCLUSION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Ikhwa Tech’s financial strategy shows promising alignment with SEE principles through Agile budgeting, tiered pricing, and cloud-first scalability. However, applying formal models like COCOMO, adding ROI evaluation, risk buffers, and long-term infrastructure planning would strengthen their financial resilience and strategic depth. Their case illustrates how theory and real-world startup agility can be effectively blended with minor refinements.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 REFERENCES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Interview with Sir Abdul Qadir, Ikhwa Tech (18 April 2025)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Boehm, B. (1981).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Engineering Economics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(COCOMO model)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Pricing Case Studies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7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8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9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11">
    <w:lvl w:ilvl="0">
      <w:start w:val="1"/>
      <w:numFmt w:val="bullet"/>
      <w:lvlText w:val=""/>
      <w:lvlJc w:val="left"/>
      <w:pPr>
        <w:ind w:left="1429" w:hanging="283"/>
      </w:pPr>
      <w:rPr/>
    </w:lvl>
    <w:lvl w:ilvl="1">
      <w:start w:val="1"/>
      <w:numFmt w:val="bullet"/>
      <w:lvlText w:val=""/>
      <w:lvlJc w:val="left"/>
      <w:pPr>
        <w:ind w:left="2138" w:hanging="283"/>
      </w:pPr>
      <w:rPr/>
    </w:lvl>
    <w:lvl w:ilvl="2">
      <w:start w:val="1"/>
      <w:numFmt w:val="bullet"/>
      <w:lvlText w:val=""/>
      <w:lvlJc w:val="left"/>
      <w:pPr>
        <w:ind w:left="2847" w:hanging="283"/>
      </w:pPr>
      <w:rPr/>
    </w:lvl>
    <w:lvl w:ilvl="3">
      <w:start w:val="1"/>
      <w:numFmt w:val="bullet"/>
      <w:lvlText w:val=""/>
      <w:lvlJc w:val="left"/>
      <w:pPr>
        <w:ind w:left="3556" w:hanging="283"/>
      </w:pPr>
      <w:rPr/>
    </w:lvl>
    <w:lvl w:ilvl="4">
      <w:start w:val="1"/>
      <w:numFmt w:val="bullet"/>
      <w:lvlText w:val=""/>
      <w:lvlJc w:val="left"/>
      <w:pPr>
        <w:ind w:left="4265" w:hanging="283"/>
      </w:pPr>
      <w:rPr/>
    </w:lvl>
    <w:lvl w:ilvl="5">
      <w:start w:val="1"/>
      <w:numFmt w:val="bullet"/>
      <w:lvlText w:val=""/>
      <w:lvlJc w:val="left"/>
      <w:pPr>
        <w:ind w:left="4974" w:hanging="283"/>
      </w:pPr>
      <w:rPr/>
    </w:lvl>
    <w:lvl w:ilvl="6">
      <w:start w:val="1"/>
      <w:numFmt w:val="bullet"/>
      <w:lvlText w:val=""/>
      <w:lvlJc w:val="left"/>
      <w:pPr>
        <w:ind w:left="5683" w:hanging="283"/>
      </w:pPr>
      <w:rPr/>
    </w:lvl>
    <w:lvl w:ilvl="7">
      <w:start w:val="1"/>
      <w:numFmt w:val="bullet"/>
      <w:lvlText w:val=""/>
      <w:lvlJc w:val="left"/>
      <w:pPr>
        <w:ind w:left="6392" w:hanging="282.9999999999991"/>
      </w:pPr>
      <w:rPr/>
    </w:lvl>
    <w:lvl w:ilvl="8">
      <w:start w:val="1"/>
      <w:numFmt w:val="bullet"/>
      <w:lvlText w:val=""/>
      <w:lvlJc w:val="left"/>
      <w:pPr>
        <w:ind w:left="7101" w:hanging="282.9999999999991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09" w:hanging="282.9999999999999"/>
      </w:pPr>
      <w:rPr/>
    </w:lvl>
    <w:lvl w:ilvl="1">
      <w:start w:val="1"/>
      <w:numFmt w:val="bullet"/>
      <w:lvlText w:val="○"/>
      <w:lvlJc w:val="left"/>
      <w:pPr>
        <w:ind w:left="1418" w:hanging="282.9999999999998"/>
      </w:pPr>
      <w:rPr/>
    </w:lvl>
    <w:lvl w:ilvl="2">
      <w:start w:val="1"/>
      <w:numFmt w:val="bullet"/>
      <w:lvlText w:val="■"/>
      <w:lvlJc w:val="left"/>
      <w:pPr>
        <w:ind w:left="2127" w:hanging="283.0000000000002"/>
      </w:pPr>
      <w:rPr/>
    </w:lvl>
    <w:lvl w:ilvl="3">
      <w:start w:val="1"/>
      <w:numFmt w:val="bullet"/>
      <w:lvlText w:val="●"/>
      <w:lvlJc w:val="left"/>
      <w:pPr>
        <w:ind w:left="2836" w:hanging="283"/>
      </w:pPr>
      <w:rPr/>
    </w:lvl>
    <w:lvl w:ilvl="4">
      <w:start w:val="1"/>
      <w:numFmt w:val="bullet"/>
      <w:lvlText w:val="○"/>
      <w:lvlJc w:val="left"/>
      <w:pPr>
        <w:ind w:left="3545" w:hanging="283"/>
      </w:pPr>
      <w:rPr/>
    </w:lvl>
    <w:lvl w:ilvl="5">
      <w:start w:val="1"/>
      <w:numFmt w:val="bullet"/>
      <w:lvlText w:val="■"/>
      <w:lvlJc w:val="left"/>
      <w:pPr>
        <w:ind w:left="4254" w:hanging="283.00000000000045"/>
      </w:pPr>
      <w:rPr/>
    </w:lvl>
    <w:lvl w:ilvl="6">
      <w:start w:val="1"/>
      <w:numFmt w:val="bullet"/>
      <w:lvlText w:val="●"/>
      <w:lvlJc w:val="left"/>
      <w:pPr>
        <w:ind w:left="4963" w:hanging="283"/>
      </w:pPr>
      <w:rPr/>
    </w:lvl>
    <w:lvl w:ilvl="7">
      <w:start w:val="1"/>
      <w:numFmt w:val="bullet"/>
      <w:lvlText w:val="○"/>
      <w:lvlJc w:val="left"/>
      <w:pPr>
        <w:ind w:left="5672" w:hanging="282.9999999999991"/>
      </w:pPr>
      <w:rPr/>
    </w:lvl>
    <w:lvl w:ilvl="8">
      <w:start w:val="1"/>
      <w:numFmt w:val="bullet"/>
      <w:lvlText w:val="■"/>
      <w:lvlJc w:val="left"/>
      <w:pPr>
        <w:ind w:left="6381" w:hanging="282.9999999999991"/>
      </w:pPr>
      <w:rPr/>
    </w:lvl>
  </w:abstractNum>
  <w:abstractNum w:abstractNumId="13">
    <w:lvl w:ilvl="0">
      <w:start w:val="1"/>
      <w:numFmt w:val="bullet"/>
      <w:lvlText w:val="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09" w:hanging="282.9999999999999"/>
      </w:pPr>
      <w:rPr/>
    </w:lvl>
    <w:lvl w:ilvl="1">
      <w:start w:val="1"/>
      <w:numFmt w:val="bullet"/>
      <w:lvlText w:val=""/>
      <w:lvlJc w:val="left"/>
      <w:pPr>
        <w:ind w:left="1418" w:hanging="282.9999999999998"/>
      </w:pPr>
      <w:rPr/>
    </w:lvl>
    <w:lvl w:ilvl="2">
      <w:start w:val="1"/>
      <w:numFmt w:val="bullet"/>
      <w:lvlText w:val=""/>
      <w:lvlJc w:val="left"/>
      <w:pPr>
        <w:ind w:left="2127" w:hanging="283.0000000000002"/>
      </w:pPr>
      <w:rPr/>
    </w:lvl>
    <w:lvl w:ilvl="3">
      <w:start w:val="1"/>
      <w:numFmt w:val="bullet"/>
      <w:lvlText w:val=""/>
      <w:lvlJc w:val="left"/>
      <w:pPr>
        <w:ind w:left="2836" w:hanging="283"/>
      </w:pPr>
      <w:rPr/>
    </w:lvl>
    <w:lvl w:ilvl="4">
      <w:start w:val="1"/>
      <w:numFmt w:val="bullet"/>
      <w:lvlText w:val=""/>
      <w:lvlJc w:val="left"/>
      <w:pPr>
        <w:ind w:left="3545" w:hanging="283"/>
      </w:pPr>
      <w:rPr/>
    </w:lvl>
    <w:lvl w:ilvl="5">
      <w:start w:val="1"/>
      <w:numFmt w:val="bullet"/>
      <w:lvlText w:val=""/>
      <w:lvlJc w:val="left"/>
      <w:pPr>
        <w:ind w:left="4254" w:hanging="283.00000000000045"/>
      </w:pPr>
      <w:rPr/>
    </w:lvl>
    <w:lvl w:ilvl="6">
      <w:start w:val="1"/>
      <w:numFmt w:val="bullet"/>
      <w:lvlText w:val=""/>
      <w:lvlJc w:val="left"/>
      <w:pPr>
        <w:ind w:left="4963" w:hanging="283"/>
      </w:pPr>
      <w:rPr/>
    </w:lvl>
    <w:lvl w:ilvl="7">
      <w:start w:val="1"/>
      <w:numFmt w:val="bullet"/>
      <w:lvlText w:val=""/>
      <w:lvlJc w:val="left"/>
      <w:pPr>
        <w:ind w:left="5672" w:hanging="282.9999999999991"/>
      </w:pPr>
      <w:rPr/>
    </w:lvl>
    <w:lvl w:ilvl="8">
      <w:start w:val="1"/>
      <w:numFmt w:val="bullet"/>
      <w:lvlText w:val=""/>
      <w:lvlJc w:val="left"/>
      <w:pPr>
        <w:ind w:left="6381" w:hanging="282.9999999999991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