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CARDIAC MRI HCM PIPELINE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Findings Report</w:t>
      </w:r>
    </w:p>
    <w:p>
      <w:pPr>
        <w:pBdr>
          <w:bottom w:val="single" w:color="2E75B6" w:sz="4" w:space="4"/>
        </w:pBdr>
        <w:spacing w:before="0"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12, 2026</w:t>
      </w:r>
    </w:p>
    <w:p>
      <w:pPr>
        <w:spacing w:before="8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Muhammad Tahir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Master's Research Student</w:t>
      </w:r>
    </w:p>
    <w:p>
      <w:pPr>
        <w:spacing w:before="4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report summarizes an end-to-end technical review of the cardiac MRI multi-agent classification pipeline, including data audit, code-path diagnosis, remediation, and measured impact. The project objective is binary classification of Normal vs Sick (Hypertrophic Cardiomyopathy — HCM) from cardiac MRI volumes.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core issues were not model-capacity limitations; they were primarily data routing, volume orientation consistency, and imbalance/threshold calibration issues.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High-impact root causes were fixed in preprocessing, ingestion compatibility, data loading, and inference.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current held-out test split (3 patients), threshold tuning improved observed metrics from: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Accuracy: 0.3333 → 0.6667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F1-macro: 0.25 → 0.6667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Specificity: 0.0 → 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 stratified 5-fold framework has been implemented and launched, which is essential given the fixed test split is too small for reliable conclusions.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Current Interpretation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now behaves more coherently and robustly. However, statistical confidence remains limited until full fold-wise training and evaluation finishes. The architecture is serviceable; the biggest gains arose from correctness and evaluation rigor.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 and Method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review covered four layers: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Dataset structure and split quality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pipeline correctness (Router → Ingestion → Preprocessing → Classification)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 and evaluation logic (sampling, weighting, thresholding)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 interpretation and stability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Work completed in this cycle included both diagnosis and implementation, followed by validation runs and artifact checks.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Dataset Findings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Cohort Size and Class Balance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From split/manifest reconciliation, the following cohort statistics were confirmed: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unique patients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patients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Sick / HCM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patients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Processed manifest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26/26 OK (complete)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Preprocessing coverage is complete — no patients are currently missing processed volumes.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Split Characteristics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Patient-level split composition from existing train/val/test CSVs: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Normal, 8 Sick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Normal, 1 Sick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Normal, 1 Sick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F4B942" w:sz="12" w:space="6"/>
        </w:pBdr>
        <w:shd w:fill="FFF2CC" w:val="clear"/>
        <w:spacing w:before="60" w:after="8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Important: With only 3 patients in validation and 3 in test, any metric (especially AUROC) is highly unstable and sensitive to threshold shifts. This explains why small logic fixes or threshold adjustments can produce large apparent metric swings.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Data Format Reality vs Assumptions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repository documentation originally implied DICOM-oriented flow, while the raw dataset is JPEG-series based. This mismatch propagated into comments, configuration assumptions, and contributed to fragility in ingestion and preprocessing pathways.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Code and Architecture Findings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Preprocessing Routing and Manifest Integrity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Preprocessing flow used non-canonical path assumptions and insufficient traceability for selected series.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Fixes Implemented: </w:t>
      </w:r>
      <w:r>
        <w:rPr>
          <w:rFonts w:ascii="Arial" w:cs="Arial" w:eastAsia="Arial" w:hAnsi="Arial"/>
          <w:sz w:val="22"/>
          <w:szCs w:val="22"/>
        </w:rPr>
        <w:t xml:space="preserve">Patient-level routing corrected to use true patient directories; fallback series selection made explicit; manifest enriched with patient_dir and selected_series fields.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Improved reproducibility and auditability; reduced silent path drift.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Ingestion Compatibility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Constructor mismatch risk for callers expecting the rescale argument from prior DICOM-style ingestion semantics.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Backward-compatible no-op rescale support added to the ingestion agent constructor.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Prevents integration breakage while preserving the JPEG-based flow.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NIfTI Orientation Consistency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Inconsistent handling of depth/axis ordering between data loading and prediction-time loading caused hidden training/inference mismatch.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Fixes: </w:t>
      </w:r>
      <w:r>
        <w:rPr>
          <w:rFonts w:ascii="Arial" w:cs="Arial" w:eastAsia="Arial" w:hAnsi="Arial"/>
          <w:sz w:val="22"/>
          <w:szCs w:val="22"/>
        </w:rPr>
        <w:t xml:space="preserve">Added strict 3D volume checks; robust depth-axis inference logic; warning path for ambiguous axis order; ensured contiguous tensor conversion before model input.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Eliminates a major hidden source of training/inference mismatch.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Imbalance Strategy Ambiguity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Risk of over-correcting class imbalance by combining weighted sampler and weighted loss implicitly.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Fixes: </w:t>
      </w:r>
      <w:r>
        <w:rPr>
          <w:rFonts w:ascii="Arial" w:cs="Arial" w:eastAsia="Arial" w:hAnsi="Arial"/>
          <w:sz w:val="22"/>
          <w:szCs w:val="22"/>
        </w:rPr>
        <w:t xml:space="preserve">Added explicit config field training.imbalance_strategy with modes: loss_weights, sampler, and none. Strategy gates wired in both dataloader creation and training setup, with validation/logging for invalid values.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Cleaner experimental control and reduced confounding during optimization.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Threshold Calibration at Inference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Fixed threshold (0.5) not aligned with the tiny and imbalanced validation characteristics.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Fixes: </w:t>
      </w:r>
      <w:r>
        <w:rPr>
          <w:rFonts w:ascii="Arial" w:cs="Arial" w:eastAsia="Arial" w:hAnsi="Arial"/>
          <w:sz w:val="22"/>
          <w:szCs w:val="22"/>
        </w:rPr>
        <w:t xml:space="preserve">Added optional validation-based threshold tuning in prediction script; supported optimization metrics: f1_macro, balanced_accuracy, and youden_j; persisted threshold provenance metadata in metrics.json.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Improved operational calibration and transparent reporting of threshold source.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K-Fold Evaluation Framework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Single tiny test split cannot support robust or statistically defensible conclusions.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New utility script generates stratified patient-level folds and optionally runs fold-wise training plus aggregate metrics.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Provides a path to statistically defensible performance estimates.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Quantitative Impact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Before vs After Threshold Calibration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following metrics were recorded from prediction artifacts using the same checkpoint family: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 (Default)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Tuned Threshold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0.3333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0.6667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F1-Macro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0.6667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Sensitivity (Recall)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Specificity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0.5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Threshold Value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 (fixed)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0.6575 (val-tuned)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Interpretation: The model had separability signal, but the decision threshold was miscalibrated for the deployment objective. The improvement reflects better calibration, not a change in underlying model weights.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Training Metric Caution</w:t>
      </w:r>
    </w:p>
    <w:p>
      <w:pPr>
        <w:pBdr>
          <w:left w:val="single" w:color="F4B942" w:sz="12" w:space="6"/>
        </w:pBdr>
        <w:shd w:fill="FFF2CC" w:val="clear"/>
        <w:spacing w:before="60" w:after="8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prior run showed test AUROC = 1.0 with weak sensitivity/precision at the default threshold. This is not contradictory: AUROC measures ranking quality over all thresholds; thresholded classification metrics reflect only one operating point on that curve.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K-Fold Evaluation Status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full 5-fold training run has been launched on CPU, executing the following command:</w:t>
      </w:r>
    </w:p>
    <w:p>
      <w:pPr>
        <w:spacing w:before="60" w:after="0"/>
      </w:pPr>
      <w:r>
        <w:t xml:space="preserve"/>
      </w:r>
    </w:p>
    <w:p>
      <w:pPr>
        <w:pBdr>
          <w:top w:val="single" w:color="CCCCCC" w:sz="1"/>
          <w:left w:val="single" w:color="2E75B6" w:sz="8"/>
          <w:bottom w:val="single" w:color="CCCCCC" w:sz="1"/>
          <w:right w:val="single" w:color="CCCCCC" w:sz="1"/>
        </w:pBdr>
        <w:shd w:fill="F2F2F2" w:val="clear"/>
        <w:spacing w:before="80" w:after="80"/>
        <w:ind w:left="20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python scripts/07_kfold_evaluate.py --run_training --epochs 30 --patience 10 --num_workers 0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As of the report timestamp: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Fold generation completed — 5 folds, stratified by class composition.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 is active on fold_01, with epoch 4 reached.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Latest observed fold_01 validation snapshot: val_auroc = 0.7500.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Given CPU-only execution and the cost of 3D model forward passes, full completion is expected to take substantial wall-clock time.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Risk and Confidence Assessment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What Confidence Is Justified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confidence in code-correctness improvements (routing, orientation, strategy wiring, threshold tuning path).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Moderate confidence that model utility improved operationally, based on threshold-tuned metric gains.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Low-to-moderate confidence in absolute generalization metrics until full k-fold aggregation completes.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Remaining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Small patient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Limits reliable variance estimation; 26 patients is low for 3D deep learning.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Overfitting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Potential overfitting with large-capacity 3D ResNet backbone relative to dataset size.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Evaluation instability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Conclusions may be unreliable if based on single split outputs rather than k-fold aggregation.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Recommended Next Actions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following actions are prioritized in order of importance: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 k-fold training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deliverable: fold-wise metrics and mean/std summary across all 5 folds.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Standardize decision policy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 threshold selection rule (e.g., val F1-macro or balanced accuracy), then apply unchanged to all test folds.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 simplification experiment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 current ResNet3D-18 to a lighter baseline to reduce overfitting risk and reduce runtime.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confidence intervals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fold-level metric distributions, not single-point estimates, to support statistical claims.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Documentation cleanup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Align README and config comments with JPEG-series reality and current processing assumptions.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most important gains in this cycle came from correctness, calibration, and evaluation discipline — not from adding model complexity. The pipeline is now substantially more reliable and auditable. Early metric movement is encouraging, but the only defensible performance statement will come from the completed 5-fold run and aggregated reporting.</w:t>
      </w:r>
    </w:p>
    <w:p>
      <w:pPr>
        <w:spacing w:before="80" w:after="0"/>
      </w:pPr>
      <w:r>
        <w:t xml:space="preserve"/>
      </w:r>
    </w:p>
    <w:p>
      <w:pPr>
        <w:pBdr>
          <w:top w:val="single" w:color="2E75B6" w:sz="4"/>
          <w:left w:val="single" w:color="2E75B6" w:sz="4"/>
          <w:bottom w:val="single" w:color="2E75B6" w:sz="4"/>
          <w:right w:val="single" w:color="2E75B6" w:sz="4"/>
        </w:pBdr>
        <w:shd w:fill="EBF3FB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 summary: this project has progressed from a fragile prototype toward a reproducible experimental pipeline, with one major step remaining — complete fold-wise training and publish aggregate results.</w:t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4"/>
        </w:pBdr>
        <w:spacing w:before="120" w:after="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Muhammad Tahir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Master's Research Student</w:t>
      </w:r>
    </w:p>
    <w:p>
      <w:pPr>
        <w:spacing w:before="0" w:after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12, 2026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Muhammad Tahir | Confidential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Cardiac MRI HCM Pipeline — Technical Findings Report</w:t>
    </w:r>
    <w:r>
      <w:rPr>
        <w:rFonts w:ascii="Arial" w:cs="Arial" w:eastAsia="Arial" w:hAnsi="Arial"/>
        <w:color w:val="666666"/>
        <w:sz w:val="18"/>
        <w:szCs w:val="18"/>
      </w:rPr>
      <w:t xml:space="preserve">	March 12,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2026-03-11T19:59:20.541Z</dcterms:created>
  <dcterms:modified xsi:type="dcterms:W3CDTF">2026-03-11T19:59:20.542Z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