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A365D"/>
          <w:sz w:val="44"/>
        </w:rPr>
        <w:t>SOFTWARE DEVELOPMENT PROPOSAL</w:t>
      </w:r>
    </w:p>
    <w:p>
      <w:pPr>
        <w:spacing w:after="720"/>
        <w:jc w:val="center"/>
      </w:pPr>
      <w:r>
        <w:rPr>
          <w:rFonts w:ascii="Arial" w:hAnsi="Arial"/>
          <w:i/>
          <w:color w:val="2B6CB0"/>
          <w:sz w:val="28"/>
        </w:rPr>
        <w:t>Daikibo Manufacturing Status Dashboard</w:t>
      </w:r>
    </w:p>
    <w:p>
      <w:pPr>
        <w:spacing w:after="480"/>
        <w:jc w:val="left"/>
      </w:pPr>
      <w:r>
        <w:rPr>
          <w:rFonts w:ascii="Arial" w:hAnsi="Arial"/>
          <w:color w:val="718096"/>
          <w:sz w:val="20"/>
        </w:rPr>
        <w:t>Client: Daikibo Steel &amp; Manufacturing</w:t>
        <w:br/>
        <w:t>Prepared By: Advanced Software Engineering Team</w:t>
        <w:br/>
        <w:t>Date: June 30, 2026</w:t>
      </w:r>
    </w:p>
    <w:p>
      <w:pPr>
        <w:spacing w:after="480"/>
      </w:pPr>
      <w:r>
        <w:rPr>
          <w:color w:val="E2E8F0"/>
        </w:rPr>
        <w:t>────────────────────────────────────────────────────────────</w:t>
      </w:r>
    </w:p>
    <w:p>
      <w:pPr>
        <w:keepNext/>
        <w:spacing w:before="360" w:after="160"/>
      </w:pPr>
      <w:r>
        <w:rPr>
          <w:rFonts w:ascii="Arial" w:hAnsi="Arial"/>
          <w:b/>
          <w:color w:val="1A365D"/>
          <w:sz w:val="28"/>
        </w:rPr>
        <w:t>1. Executive Overview</w:t>
      </w:r>
    </w:p>
    <w:p>
      <w:pPr>
        <w:spacing w:after="200" w:line="276" w:lineRule="auto"/>
      </w:pPr>
      <w:r>
        <w:t>Daikibo currently collects telemetry data from its manufacturing processes across multiple sites. While offline analysis provides valuable historical insights, it lacks the immediacy required to prevent downtime and respond rapidly to equipment failures.</w:t>
      </w:r>
    </w:p>
    <w:p>
      <w:pPr>
        <w:spacing w:after="200" w:line="276" w:lineRule="auto"/>
      </w:pPr>
      <w:r>
        <w:t>This proposal outlines the development of the Daikibo Manufacturing Status Dashboard, a secure, real-time single-page web application. The dashboard will monitor the health status of all 9 machines operating across each of Daikibo's 4 factories (totaling 36 monitored devices). By rendering telemetry data into an interactive, intuitive interface within the company's intranet, managers and operators can track live health indicators, view status histories, and receive immediate alerts for system anomalies.</w:t>
      </w:r>
    </w:p>
    <w:p>
      <w:pPr>
        <w:keepNext/>
        <w:spacing w:before="360" w:after="160"/>
      </w:pPr>
      <w:r>
        <w:rPr>
          <w:rFonts w:ascii="Arial" w:hAnsi="Arial"/>
          <w:b/>
          <w:color w:val="1A365D"/>
          <w:sz w:val="28"/>
        </w:rPr>
        <w:t>2. Project Scope &amp; Functional Requirements</w:t>
      </w:r>
    </w:p>
    <w:p>
      <w:pPr>
        <w:spacing w:after="120"/>
      </w:pPr>
      <w:r>
        <w:t>The application will be developed as a secure, responsive single-page dashboard tailored to Daikibo's internal infrastructure. Core features of the system include:</w:t>
      </w:r>
    </w:p>
    <w:p>
      <w:pPr>
        <w:pStyle w:val="ListBullet"/>
        <w:spacing w:after="80"/>
        <w:ind w:left="360"/>
      </w:pPr>
      <w:r>
        <w:rPr>
          <w:b/>
        </w:rPr>
        <w:t xml:space="preserve">Single-Page Interface: </w:t>
      </w:r>
      <w:r>
        <w:t>A unified screen presenting a clean list of all 36 monitored devices grouped by their respective factories.</w:t>
      </w:r>
    </w:p>
    <w:p>
      <w:pPr>
        <w:pStyle w:val="ListBullet"/>
        <w:spacing w:after="80"/>
        <w:ind w:left="360"/>
      </w:pPr>
      <w:r>
        <w:rPr>
          <w:b/>
        </w:rPr>
        <w:t xml:space="preserve">Factory-Level Collapse/Expand: </w:t>
      </w:r>
      <w:r>
        <w:t>Users can collapse or expand factory panels (Tokyo, Osaka, Nagoya, Fukuoka) to optimize screen real estate.</w:t>
      </w:r>
    </w:p>
    <w:p>
      <w:pPr>
        <w:pStyle w:val="ListBullet"/>
        <w:spacing w:after="80"/>
        <w:ind w:left="360"/>
      </w:pPr>
      <w:r>
        <w:rPr>
          <w:b/>
        </w:rPr>
        <w:t xml:space="preserve">Device-Level Collapse/Expand: </w:t>
      </w:r>
      <w:r>
        <w:t>Expanding a specific device reveals its detailed telemetry history, status codes, and a graphical timeline of past performance.</w:t>
      </w:r>
    </w:p>
    <w:p>
      <w:pPr>
        <w:pStyle w:val="ListBullet"/>
        <w:spacing w:after="80"/>
        <w:ind w:left="360"/>
      </w:pPr>
      <w:r>
        <w:rPr>
          <w:b/>
        </w:rPr>
        <w:t xml:space="preserve">Intranet-Only Access: </w:t>
      </w:r>
      <w:r>
        <w:t>The dashboard will be hosted internally, ensuring that data never leaves the secure boundaries of Daikibo’s corporate intranet.</w:t>
      </w:r>
    </w:p>
    <w:p>
      <w:pPr>
        <w:pStyle w:val="ListBullet"/>
        <w:spacing w:after="80"/>
        <w:ind w:left="360"/>
      </w:pPr>
      <w:r>
        <w:rPr>
          <w:b/>
        </w:rPr>
        <w:t xml:space="preserve">Single Sign-On (SSO) Integration: </w:t>
      </w:r>
      <w:r>
        <w:t>User authentication will sync with the client's internal Active Directory/LDAP server, enabling standard company accounts.</w:t>
      </w:r>
    </w:p>
    <w:p>
      <w:pPr>
        <w:spacing w:before="160"/>
      </w:pPr>
    </w:p>
    <w:p>
      <w:pPr>
        <w:keepNext/>
        <w:spacing w:before="360" w:after="160"/>
      </w:pPr>
      <w:r>
        <w:rPr>
          <w:rFonts w:ascii="Arial" w:hAnsi="Arial"/>
          <w:b/>
          <w:color w:val="1A365D"/>
          <w:sz w:val="28"/>
        </w:rPr>
        <w:t>3. Technical Architecture &amp; Tech Stack</w:t>
      </w:r>
    </w:p>
    <w:p>
      <w:pPr>
        <w:spacing w:after="120"/>
      </w:pPr>
      <w:r>
        <w:t>To ensure security, performance, and long-term maintainability, we propose the following modern technology stack:</w:t>
      </w:r>
    </w:p>
    <w:p>
      <w:pPr>
        <w:pStyle w:val="ListBullet"/>
        <w:spacing w:after="80"/>
        <w:ind w:left="360"/>
      </w:pPr>
      <w:r>
        <w:rPr>
          <w:b/>
        </w:rPr>
        <w:t xml:space="preserve">Frontend UI: </w:t>
      </w:r>
      <w:r>
        <w:t>React.js / TypeScript styled with a premium CSS grid/flexbox system for responsiveness on tablet and desktop terminals.</w:t>
      </w:r>
    </w:p>
    <w:p>
      <w:pPr>
        <w:pStyle w:val="ListBullet"/>
        <w:spacing w:after="80"/>
        <w:ind w:left="360"/>
      </w:pPr>
      <w:r>
        <w:rPr>
          <w:b/>
        </w:rPr>
        <w:t xml:space="preserve">Data Visualization: </w:t>
      </w:r>
      <w:r>
        <w:t>Chart.js or Recharts for lightweight, high-performance telemetry history rendering.</w:t>
      </w:r>
    </w:p>
    <w:p>
      <w:pPr>
        <w:pStyle w:val="ListBullet"/>
        <w:spacing w:after="80"/>
        <w:ind w:left="360"/>
      </w:pPr>
      <w:r>
        <w:rPr>
          <w:b/>
        </w:rPr>
        <w:t xml:space="preserve">Backend API Service: </w:t>
      </w:r>
      <w:r>
        <w:t>Python (FastAPI) or Node.js (Express), designed to serve cached telemetry states and query the database efficiently.</w:t>
      </w:r>
    </w:p>
    <w:p>
      <w:pPr>
        <w:pStyle w:val="ListBullet"/>
        <w:spacing w:after="80"/>
        <w:ind w:left="360"/>
      </w:pPr>
      <w:r>
        <w:rPr>
          <w:b/>
        </w:rPr>
        <w:t xml:space="preserve">Database Integration: </w:t>
      </w:r>
      <w:r>
        <w:t>PostgreSQL or TimescaleDB for time-series telemetry storage.</w:t>
      </w:r>
    </w:p>
    <w:p>
      <w:pPr>
        <w:pStyle w:val="ListBullet"/>
        <w:spacing w:after="80"/>
        <w:ind w:left="360"/>
      </w:pPr>
      <w:r>
        <w:rPr>
          <w:b/>
        </w:rPr>
        <w:t xml:space="preserve">Security &amp; Authentication: </w:t>
      </w:r>
      <w:r>
        <w:t>Integration with Active Directory / LDAP using an OAuth2 proxy. SSL/TLS encryption for all internal network traffic.</w:t>
      </w:r>
    </w:p>
    <w:p>
      <w:pPr>
        <w:keepNext/>
        <w:spacing w:before="360" w:after="160"/>
      </w:pPr>
      <w:r>
        <w:rPr>
          <w:rFonts w:ascii="Arial" w:hAnsi="Arial"/>
          <w:b/>
          <w:color w:val="1A365D"/>
          <w:sz w:val="28"/>
        </w:rPr>
        <w:t>4. Estimation &amp; Resource Breakdown</w:t>
      </w:r>
    </w:p>
    <w:p>
      <w:pPr>
        <w:spacing w:after="240"/>
      </w:pPr>
      <w:r>
        <w:t>This estimate covers all phases of the software development lifecycle (SDLC), including requirements gathering, architecture, development, testing, and deployment.</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1A365D"/>
          </w:tcPr>
          <w:p>
            <w:pPr>
              <w:jc w:val="center"/>
            </w:pPr>
            <w:r>
              <w:rPr>
                <w:b/>
                <w:color w:val="FFFFFF"/>
                <w:sz w:val="20"/>
              </w:rPr>
              <w:t>Phase &amp; Description</w:t>
            </w:r>
          </w:p>
        </w:tc>
        <w:tc>
          <w:tcPr>
            <w:tcW w:type="dxa" w:w="3120"/>
            <w:shd w:val="clear" w:color="auto" w:fill="1A365D"/>
          </w:tcPr>
          <w:p>
            <w:pPr>
              <w:jc w:val="center"/>
            </w:pPr>
            <w:r>
              <w:rPr>
                <w:b/>
                <w:color w:val="FFFFFF"/>
                <w:sz w:val="20"/>
              </w:rPr>
              <w:t>Details</w:t>
            </w:r>
          </w:p>
        </w:tc>
        <w:tc>
          <w:tcPr>
            <w:tcW w:type="dxa" w:w="3120"/>
            <w:shd w:val="clear" w:color="auto" w:fill="1A365D"/>
          </w:tcPr>
          <w:p>
            <w:pPr>
              <w:jc w:val="center"/>
            </w:pPr>
            <w:r>
              <w:rPr>
                <w:b/>
                <w:color w:val="FFFFFF"/>
                <w:sz w:val="20"/>
              </w:rPr>
              <w:t>Est. Hours</w:t>
            </w:r>
          </w:p>
        </w:tc>
      </w:tr>
      <w:tr>
        <w:tc>
          <w:tcPr>
            <w:tcW w:type="dxa" w:w="3120"/>
            <w:tcMar>
              <w:top w:w="120" w:type="dxa"/>
              <w:bottom w:w="120" w:type="dxa"/>
              <w:left w:w="150" w:type="dxa"/>
              <w:right w:w="150" w:type="dxa"/>
            </w:tcMar>
          </w:tcPr>
          <w:p>
            <w:pPr>
              <w:spacing w:after="0"/>
            </w:pPr>
            <w:r>
              <w:rPr>
                <w:sz w:val="19"/>
              </w:rPr>
              <w:t>Phase 1: Architecture &amp; Auth Integration</w:t>
            </w:r>
          </w:p>
        </w:tc>
        <w:tc>
          <w:tcPr>
            <w:tcW w:type="dxa" w:w="3120"/>
            <w:tcMar>
              <w:top w:w="120" w:type="dxa"/>
              <w:bottom w:w="120" w:type="dxa"/>
              <w:left w:w="150" w:type="dxa"/>
              <w:right w:w="150" w:type="dxa"/>
            </w:tcMar>
          </w:tcPr>
          <w:p>
            <w:pPr>
              <w:spacing w:after="0"/>
            </w:pPr>
            <w:r>
              <w:rPr>
                <w:sz w:val="19"/>
              </w:rPr>
              <w:t>System design &amp; AD/LDAP sync prototype</w:t>
            </w:r>
          </w:p>
        </w:tc>
        <w:tc>
          <w:tcPr>
            <w:tcW w:type="dxa" w:w="3120"/>
            <w:tcMar>
              <w:top w:w="120" w:type="dxa"/>
              <w:bottom w:w="120" w:type="dxa"/>
              <w:left w:w="150" w:type="dxa"/>
              <w:right w:w="150" w:type="dxa"/>
            </w:tcMar>
          </w:tcPr>
          <w:p>
            <w:pPr>
              <w:spacing w:after="0"/>
              <w:jc w:val="right"/>
            </w:pPr>
            <w:r>
              <w:rPr>
                <w:sz w:val="19"/>
              </w:rPr>
              <w:t>40 hrs</w:t>
            </w:r>
          </w:p>
        </w:tc>
      </w:tr>
      <w:tr>
        <w:tc>
          <w:tcPr>
            <w:tcW w:type="dxa" w:w="3120"/>
            <w:tcMar>
              <w:top w:w="120" w:type="dxa"/>
              <w:bottom w:w="120" w:type="dxa"/>
              <w:left w:w="150" w:type="dxa"/>
              <w:right w:w="150" w:type="dxa"/>
            </w:tcMar>
            <w:shd w:val="clear" w:color="auto" w:fill="F7FAFC"/>
          </w:tcPr>
          <w:p>
            <w:pPr>
              <w:spacing w:after="0"/>
            </w:pPr>
            <w:r>
              <w:rPr>
                <w:sz w:val="19"/>
              </w:rPr>
              <w:t>Phase 2: Backend API &amp; Telemetry Pipeline</w:t>
            </w:r>
          </w:p>
        </w:tc>
        <w:tc>
          <w:tcPr>
            <w:tcW w:type="dxa" w:w="3120"/>
            <w:tcMar>
              <w:top w:w="120" w:type="dxa"/>
              <w:bottom w:w="120" w:type="dxa"/>
              <w:left w:w="150" w:type="dxa"/>
              <w:right w:w="150" w:type="dxa"/>
            </w:tcMar>
            <w:shd w:val="clear" w:color="auto" w:fill="F7FAFC"/>
          </w:tcPr>
          <w:p>
            <w:pPr>
              <w:spacing w:after="0"/>
            </w:pPr>
            <w:r>
              <w:rPr>
                <w:sz w:val="19"/>
              </w:rPr>
              <w:t>RESTful APIs &amp; Database connections</w:t>
            </w:r>
          </w:p>
        </w:tc>
        <w:tc>
          <w:tcPr>
            <w:tcW w:type="dxa" w:w="3120"/>
            <w:tcMar>
              <w:top w:w="120" w:type="dxa"/>
              <w:bottom w:w="120" w:type="dxa"/>
              <w:left w:w="150" w:type="dxa"/>
              <w:right w:w="150" w:type="dxa"/>
            </w:tcMar>
            <w:shd w:val="clear" w:color="auto" w:fill="F7FAFC"/>
          </w:tcPr>
          <w:p>
            <w:pPr>
              <w:spacing w:after="0"/>
              <w:jc w:val="right"/>
            </w:pPr>
            <w:r>
              <w:rPr>
                <w:sz w:val="19"/>
              </w:rPr>
              <w:t>60 hrs</w:t>
            </w:r>
          </w:p>
        </w:tc>
      </w:tr>
      <w:tr>
        <w:tc>
          <w:tcPr>
            <w:tcW w:type="dxa" w:w="3120"/>
            <w:tcMar>
              <w:top w:w="120" w:type="dxa"/>
              <w:bottom w:w="120" w:type="dxa"/>
              <w:left w:w="150" w:type="dxa"/>
              <w:right w:w="150" w:type="dxa"/>
            </w:tcMar>
          </w:tcPr>
          <w:p>
            <w:pPr>
              <w:spacing w:after="0"/>
            </w:pPr>
            <w:r>
              <w:rPr>
                <w:sz w:val="19"/>
              </w:rPr>
              <w:t>Phase 3: Frontend Dashboard Development</w:t>
            </w:r>
          </w:p>
        </w:tc>
        <w:tc>
          <w:tcPr>
            <w:tcW w:type="dxa" w:w="3120"/>
            <w:tcMar>
              <w:top w:w="120" w:type="dxa"/>
              <w:bottom w:w="120" w:type="dxa"/>
              <w:left w:w="150" w:type="dxa"/>
              <w:right w:w="150" w:type="dxa"/>
            </w:tcMar>
          </w:tcPr>
          <w:p>
            <w:pPr>
              <w:spacing w:after="0"/>
            </w:pPr>
            <w:r>
              <w:rPr>
                <w:sz w:val="19"/>
              </w:rPr>
              <w:t>Single-page UI, collapsible grid, charts</w:t>
            </w:r>
          </w:p>
        </w:tc>
        <w:tc>
          <w:tcPr>
            <w:tcW w:type="dxa" w:w="3120"/>
            <w:tcMar>
              <w:top w:w="120" w:type="dxa"/>
              <w:bottom w:w="120" w:type="dxa"/>
              <w:left w:w="150" w:type="dxa"/>
              <w:right w:w="150" w:type="dxa"/>
            </w:tcMar>
          </w:tcPr>
          <w:p>
            <w:pPr>
              <w:spacing w:after="0"/>
              <w:jc w:val="right"/>
            </w:pPr>
            <w:r>
              <w:rPr>
                <w:sz w:val="19"/>
              </w:rPr>
              <w:t>80 hrs</w:t>
            </w:r>
          </w:p>
        </w:tc>
      </w:tr>
      <w:tr>
        <w:tc>
          <w:tcPr>
            <w:tcW w:type="dxa" w:w="3120"/>
            <w:tcMar>
              <w:top w:w="120" w:type="dxa"/>
              <w:bottom w:w="120" w:type="dxa"/>
              <w:left w:w="150" w:type="dxa"/>
              <w:right w:w="150" w:type="dxa"/>
            </w:tcMar>
            <w:shd w:val="clear" w:color="auto" w:fill="F7FAFC"/>
          </w:tcPr>
          <w:p>
            <w:pPr>
              <w:spacing w:after="0"/>
            </w:pPr>
            <w:r>
              <w:rPr>
                <w:sz w:val="19"/>
              </w:rPr>
              <w:t>Phase 4: QA &amp; Automated Testing</w:t>
            </w:r>
          </w:p>
        </w:tc>
        <w:tc>
          <w:tcPr>
            <w:tcW w:type="dxa" w:w="3120"/>
            <w:tcMar>
              <w:top w:w="120" w:type="dxa"/>
              <w:bottom w:w="120" w:type="dxa"/>
              <w:left w:w="150" w:type="dxa"/>
              <w:right w:w="150" w:type="dxa"/>
            </w:tcMar>
            <w:shd w:val="clear" w:color="auto" w:fill="F7FAFC"/>
          </w:tcPr>
          <w:p>
            <w:pPr>
              <w:spacing w:after="0"/>
            </w:pPr>
            <w:r>
              <w:rPr>
                <w:sz w:val="19"/>
              </w:rPr>
              <w:t>Unit/Integration tests, auth simulation</w:t>
            </w:r>
          </w:p>
        </w:tc>
        <w:tc>
          <w:tcPr>
            <w:tcW w:type="dxa" w:w="3120"/>
            <w:tcMar>
              <w:top w:w="120" w:type="dxa"/>
              <w:bottom w:w="120" w:type="dxa"/>
              <w:left w:w="150" w:type="dxa"/>
              <w:right w:w="150" w:type="dxa"/>
            </w:tcMar>
            <w:shd w:val="clear" w:color="auto" w:fill="F7FAFC"/>
          </w:tcPr>
          <w:p>
            <w:pPr>
              <w:spacing w:after="0"/>
              <w:jc w:val="right"/>
            </w:pPr>
            <w:r>
              <w:rPr>
                <w:sz w:val="19"/>
              </w:rPr>
              <w:t>40 hrs</w:t>
            </w:r>
          </w:p>
        </w:tc>
      </w:tr>
      <w:tr>
        <w:tc>
          <w:tcPr>
            <w:tcW w:type="dxa" w:w="3120"/>
            <w:tcMar>
              <w:top w:w="120" w:type="dxa"/>
              <w:bottom w:w="120" w:type="dxa"/>
              <w:left w:w="150" w:type="dxa"/>
              <w:right w:w="150" w:type="dxa"/>
            </w:tcMar>
            <w:shd w:val="clear" w:color="auto" w:fill="EDF2F7"/>
          </w:tcPr>
          <w:p>
            <w:pPr>
              <w:spacing w:before="120" w:after="120"/>
            </w:pPr>
            <w:r>
              <w:rPr>
                <w:b/>
                <w:color w:val="1A365D"/>
                <w:sz w:val="20"/>
              </w:rPr>
              <w:t>Total Estimated Effort</w:t>
            </w:r>
          </w:p>
        </w:tc>
        <w:tc>
          <w:tcPr>
            <w:tcW w:type="dxa" w:w="3120"/>
            <w:tcMar>
              <w:top w:w="120" w:type="dxa"/>
              <w:bottom w:w="120" w:type="dxa"/>
              <w:left w:w="150" w:type="dxa"/>
              <w:right w:w="150" w:type="dxa"/>
            </w:tcMar>
            <w:shd w:val="clear" w:color="auto" w:fill="EDF2F7"/>
          </w:tcPr>
          <w:p>
            <w:pPr>
              <w:spacing w:before="120" w:after="120"/>
            </w:pPr>
            <w:r>
              <w:rPr>
                <w:b/>
                <w:color w:val="1A365D"/>
                <w:sz w:val="20"/>
              </w:rPr>
            </w:r>
          </w:p>
        </w:tc>
        <w:tc>
          <w:tcPr>
            <w:tcW w:type="dxa" w:w="3120"/>
            <w:tcMar>
              <w:top w:w="120" w:type="dxa"/>
              <w:bottom w:w="120" w:type="dxa"/>
              <w:left w:w="150" w:type="dxa"/>
              <w:right w:w="150" w:type="dxa"/>
            </w:tcMar>
            <w:shd w:val="clear" w:color="auto" w:fill="EDF2F7"/>
          </w:tcPr>
          <w:p>
            <w:pPr>
              <w:spacing w:before="120" w:after="120"/>
              <w:jc w:val="right"/>
            </w:pPr>
            <w:r>
              <w:rPr>
                <w:b/>
                <w:color w:val="1A365D"/>
                <w:sz w:val="20"/>
              </w:rPr>
              <w:t>250 hrs</w:t>
            </w:r>
          </w:p>
        </w:tc>
      </w:tr>
    </w:tbl>
    <w:p>
      <w:pPr>
        <w:spacing w:before="240"/>
      </w:pPr>
    </w:p>
    <w:p>
      <w:pPr>
        <w:keepNext/>
        <w:spacing w:before="360" w:after="160"/>
      </w:pPr>
      <w:r>
        <w:rPr>
          <w:rFonts w:ascii="Arial" w:hAnsi="Arial"/>
          <w:b/>
          <w:color w:val="1A365D"/>
          <w:sz w:val="28"/>
        </w:rPr>
        <w:t>5. Project Timeline &amp; Milestones</w:t>
      </w:r>
    </w:p>
    <w:p>
      <w:pPr>
        <w:spacing w:after="120"/>
      </w:pPr>
      <w:r>
        <w:t>The proposed timeline spans a 6-week development cycle based on a dedicated team of engineers:</w:t>
      </w:r>
    </w:p>
    <w:p>
      <w:pPr>
        <w:pStyle w:val="ListBullet"/>
        <w:spacing w:after="80"/>
        <w:ind w:left="360"/>
      </w:pPr>
      <w:r>
        <w:rPr>
          <w:b/>
        </w:rPr>
        <w:t xml:space="preserve">Milestone 1 (End of Week 1): </w:t>
      </w:r>
      <w:r>
        <w:t>Architecture sign-off &amp; Successful SSO/AD authentication prototype.</w:t>
      </w:r>
    </w:p>
    <w:p>
      <w:pPr>
        <w:pStyle w:val="ListBullet"/>
        <w:spacing w:after="80"/>
        <w:ind w:left="360"/>
      </w:pPr>
      <w:r>
        <w:rPr>
          <w:b/>
        </w:rPr>
        <w:t xml:space="preserve">Milestone 2 (End of Week 3): </w:t>
      </w:r>
      <w:r>
        <w:t>Backend API completion and functional telemetry database integration.</w:t>
      </w:r>
    </w:p>
    <w:p>
      <w:pPr>
        <w:pStyle w:val="ListBullet"/>
        <w:spacing w:after="80"/>
        <w:ind w:left="360"/>
      </w:pPr>
      <w:r>
        <w:rPr>
          <w:b/>
        </w:rPr>
        <w:t xml:space="preserve">Milestone 3 (End of Week 4): </w:t>
      </w:r>
      <w:r>
        <w:t>Frontend UI completed with interactive factory/device collapsible views.</w:t>
      </w:r>
    </w:p>
    <w:p>
      <w:pPr>
        <w:pStyle w:val="ListBullet"/>
        <w:spacing w:after="80"/>
        <w:ind w:left="360"/>
      </w:pPr>
      <w:r>
        <w:rPr>
          <w:b/>
        </w:rPr>
        <w:t xml:space="preserve">Milestone 4 (End of Week 5): </w:t>
      </w:r>
      <w:r>
        <w:t>Testing cycle complete with zero unresolved high-severity bugs.</w:t>
      </w:r>
    </w:p>
    <w:p>
      <w:pPr>
        <w:pStyle w:val="ListBullet"/>
        <w:spacing w:after="80"/>
        <w:ind w:left="360"/>
      </w:pPr>
      <w:r>
        <w:rPr>
          <w:b/>
        </w:rPr>
        <w:t xml:space="preserve">Milestone 5 (End of Week 6): </w:t>
      </w:r>
      <w:r>
        <w:t>Successful production deploy on Daikibo intranet and final handover.</w:t>
      </w:r>
    </w:p>
    <w:p>
      <w:pPr>
        <w:keepNext/>
        <w:spacing w:before="360" w:after="160"/>
      </w:pPr>
      <w:r>
        <w:rPr>
          <w:rFonts w:ascii="Arial" w:hAnsi="Arial"/>
          <w:b/>
          <w:color w:val="1A365D"/>
          <w:sz w:val="28"/>
        </w:rPr>
        <w:t>6. Continuous Support &amp; Maintenance</w:t>
      </w:r>
    </w:p>
    <w:p>
      <w:pPr>
        <w:spacing w:after="120"/>
      </w:pPr>
      <w:r>
        <w:t>Post-deployment, Daikibo can rely on our continuous support program to ensure the system remains secure, performant, and up-to-date:</w:t>
      </w:r>
    </w:p>
    <w:p>
      <w:pPr>
        <w:pStyle w:val="ListBullet"/>
        <w:spacing w:after="80"/>
        <w:ind w:left="360"/>
      </w:pPr>
      <w:r>
        <w:rPr>
          <w:b/>
        </w:rPr>
        <w:t xml:space="preserve">Warranty Period: </w:t>
      </w:r>
      <w:r>
        <w:t>30 days of complimentary support covering all critical bug fixes and deployment stability issues.</w:t>
      </w:r>
    </w:p>
    <w:p>
      <w:pPr>
        <w:pStyle w:val="ListBullet"/>
        <w:spacing w:after="80"/>
        <w:ind w:left="360"/>
      </w:pPr>
      <w:r>
        <w:rPr>
          <w:b/>
        </w:rPr>
        <w:t xml:space="preserve">SLA Support Packages: </w:t>
      </w:r>
      <w:r>
        <w:t>Tiered maintenance contracts including Standard (9/5 support with 4-hour response) and Premium (24/7 support with 1-hour response).</w:t>
      </w:r>
    </w:p>
    <w:p>
      <w:pPr>
        <w:pStyle w:val="ListBullet"/>
        <w:spacing w:after="80"/>
        <w:ind w:left="360"/>
      </w:pPr>
      <w:r>
        <w:rPr>
          <w:b/>
        </w:rPr>
        <w:t xml:space="preserve">Continuous Updates: </w:t>
      </w:r>
      <w:r>
        <w:t>Regular security patching, framework upgrades, and minor feature adjustments included.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