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80"/>
        <w:jc w:val="center"/>
      </w:pPr>
      <w:r>
        <w:rPr>
          <w:b/>
          <w:color w:val="1F3864"/>
          <w:sz w:val="52"/>
        </w:rPr>
        <w:t>Early Warning System &amp; Prediction API</w:t>
      </w:r>
    </w:p>
    <w:p>
      <w:pPr>
        <w:spacing w:after="200"/>
        <w:jc w:val="center"/>
      </w:pPr>
      <w:r>
        <w:rPr>
          <w:i/>
          <w:color w:val="2E75B6"/>
          <w:sz w:val="26"/>
        </w:rPr>
        <w:t>Internship Project — Handover &amp; Documentation</w:t>
      </w:r>
    </w:p>
    <w:p>
      <w:pPr>
        <w:spacing w:after="360"/>
        <w:jc w:val="center"/>
      </w:pPr>
      <w:r>
        <w:rPr>
          <w:color w:val="555555"/>
          <w:sz w:val="22"/>
        </w:rPr>
        <w:t>A FastAPI backend that predicts student risk, dropout, GPA, fee defaults and admissions, and raises early-warning alerts for a Student ERP system.</w:t>
      </w:r>
    </w:p>
    <w:tbl>
      <w:tblPr>
        <w:tblW w:type="auto" w:w="0"/>
        <w:jc w:val="center"/>
        <w:tblLook w:firstColumn="1" w:firstRow="1" w:lastColumn="0" w:lastRow="0" w:noHBand="0" w:noVBand="1" w:val="04A0"/>
      </w:tblPr>
      <w:tblGrid>
        <w:gridCol w:w="4320"/>
        <w:gridCol w:w="4320"/>
      </w:tblGrid>
      <w:tr>
        <w:tc>
          <w:tcPr>
            <w:tcW w:type="dxa" w:w="3168"/>
          </w:tcPr>
          <w:p>
            <w:r/>
            <w:r>
              <w:rPr>
                <w:b/>
                <w:color w:val="1F3864"/>
                <w:sz w:val="22"/>
              </w:rPr>
              <w:t>Prepared by</w:t>
            </w:r>
          </w:p>
        </w:tc>
        <w:tc>
          <w:tcPr>
            <w:tcW w:type="dxa" w:w="5184"/>
          </w:tcPr>
          <w:p>
            <w:r/>
            <w:r>
              <w:rPr>
                <w:sz w:val="22"/>
              </w:rPr>
              <w:t>Muhammad Abdullah</w:t>
            </w:r>
          </w:p>
        </w:tc>
      </w:tr>
      <w:tr>
        <w:tc>
          <w:tcPr>
            <w:tcW w:type="dxa" w:w="3168"/>
          </w:tcPr>
          <w:p>
            <w:r/>
            <w:r>
              <w:rPr>
                <w:b/>
                <w:color w:val="1F3864"/>
                <w:sz w:val="22"/>
              </w:rPr>
              <w:t>Role</w:t>
            </w:r>
          </w:p>
        </w:tc>
        <w:tc>
          <w:tcPr>
            <w:tcW w:type="dxa" w:w="5184"/>
          </w:tcPr>
          <w:p>
            <w:r/>
            <w:r>
              <w:rPr>
                <w:sz w:val="22"/>
              </w:rPr>
              <w:t>Backend Developer (Intern)</w:t>
            </w:r>
          </w:p>
        </w:tc>
      </w:tr>
      <w:tr>
        <w:tc>
          <w:tcPr>
            <w:tcW w:type="dxa" w:w="3168"/>
          </w:tcPr>
          <w:p>
            <w:r/>
            <w:r>
              <w:rPr>
                <w:b/>
                <w:color w:val="1F3864"/>
                <w:sz w:val="22"/>
              </w:rPr>
              <w:t>Module</w:t>
            </w:r>
          </w:p>
        </w:tc>
        <w:tc>
          <w:tcPr>
            <w:tcW w:type="dxa" w:w="5184"/>
          </w:tcPr>
          <w:p>
            <w:r/>
            <w:r>
              <w:rPr>
                <w:sz w:val="22"/>
              </w:rPr>
              <w:t>Early Warning System &amp; API Integration</w:t>
            </w:r>
          </w:p>
        </w:tc>
      </w:tr>
      <w:tr>
        <w:tc>
          <w:tcPr>
            <w:tcW w:type="dxa" w:w="3168"/>
          </w:tcPr>
          <w:p>
            <w:r/>
            <w:r>
              <w:rPr>
                <w:b/>
                <w:color w:val="1F3864"/>
                <w:sz w:val="22"/>
              </w:rPr>
              <w:t>Date</w:t>
            </w:r>
          </w:p>
        </w:tc>
        <w:tc>
          <w:tcPr>
            <w:tcW w:type="dxa" w:w="5184"/>
          </w:tcPr>
          <w:p>
            <w:r/>
            <w:r>
              <w:rPr>
                <w:sz w:val="22"/>
              </w:rPr>
              <w:t>June 2026</w:t>
            </w:r>
          </w:p>
        </w:tc>
      </w:tr>
    </w:tbl>
    <w:p>
      <w:r>
        <w:br w:type="page"/>
      </w:r>
    </w:p>
    <w:p>
      <w:pPr>
        <w:keepNext/>
        <w:spacing w:before="0" w:after="100"/>
      </w:pPr>
      <w:r>
        <w:rPr>
          <w:b/>
          <w:color w:val="1F3864"/>
          <w:sz w:val="32"/>
        </w:rPr>
        <w:t>Project links</w:t>
      </w:r>
    </w:p>
    <w:p>
      <w:pPr>
        <w:spacing w:after="80"/>
      </w:pPr>
      <w:r>
        <w:rPr>
          <w:b w:val="0"/>
          <w:i w:val="0"/>
          <w:sz w:val="22"/>
        </w:rPr>
        <w:t>Everything is live and available at the links below.</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2E75B6"/>
          </w:tcPr>
          <w:p>
            <w:r/>
            <w:r>
              <w:rPr>
                <w:b/>
                <w:color w:val="FFFFFF"/>
                <w:sz w:val="20"/>
              </w:rPr>
              <w:t>Resource</w:t>
            </w:r>
          </w:p>
        </w:tc>
        <w:tc>
          <w:tcPr>
            <w:tcW w:type="dxa" w:w="9360"/>
            <w:shd w:val="clear" w:color="auto" w:fill="2E75B6"/>
          </w:tcPr>
          <w:p>
            <w:r/>
            <w:r>
              <w:rPr>
                <w:b/>
                <w:color w:val="FFFFFF"/>
                <w:sz w:val="20"/>
              </w:rPr>
              <w:t>Address</w:t>
            </w:r>
          </w:p>
        </w:tc>
      </w:tr>
      <w:tr>
        <w:tc>
          <w:tcPr>
            <w:tcW w:type="dxa" w:w="3600"/>
          </w:tcPr>
          <w:p>
            <w:r/>
            <w:r>
              <w:rPr>
                <w:sz w:val="19"/>
              </w:rPr>
              <w:t>Live API (base URL)</w:t>
            </w:r>
          </w:p>
        </w:tc>
        <w:tc>
          <w:tcPr>
            <w:tcW w:type="dxa" w:w="9360"/>
          </w:tcPr>
          <w:p>
            <w:r/>
            <w:r>
              <w:rPr>
                <w:sz w:val="19"/>
              </w:rPr>
              <w:t>https://muhammadabdullah31808-early-warning-api.hf.space</w:t>
            </w:r>
          </w:p>
        </w:tc>
      </w:tr>
      <w:tr>
        <w:tc>
          <w:tcPr>
            <w:tcW w:type="dxa" w:w="3600"/>
            <w:shd w:val="clear" w:color="auto" w:fill="EEF3FA"/>
          </w:tcPr>
          <w:p>
            <w:r/>
            <w:r>
              <w:rPr>
                <w:sz w:val="19"/>
              </w:rPr>
              <w:t>Live interactive docs</w:t>
            </w:r>
          </w:p>
        </w:tc>
        <w:tc>
          <w:tcPr>
            <w:tcW w:type="dxa" w:w="9360"/>
            <w:shd w:val="clear" w:color="auto" w:fill="EEF3FA"/>
          </w:tcPr>
          <w:p>
            <w:r/>
            <w:r>
              <w:rPr>
                <w:sz w:val="19"/>
              </w:rPr>
              <w:t>https://muhammadabdullah31808-early-warning-api.hf.space/docs</w:t>
            </w:r>
          </w:p>
        </w:tc>
      </w:tr>
      <w:tr>
        <w:tc>
          <w:tcPr>
            <w:tcW w:type="dxa" w:w="3600"/>
          </w:tcPr>
          <w:p>
            <w:r/>
            <w:r>
              <w:rPr>
                <w:sz w:val="19"/>
              </w:rPr>
              <w:t>Source code (GitHub)</w:t>
            </w:r>
          </w:p>
        </w:tc>
        <w:tc>
          <w:tcPr>
            <w:tcW w:type="dxa" w:w="9360"/>
          </w:tcPr>
          <w:p>
            <w:r/>
            <w:r>
              <w:rPr>
                <w:sz w:val="19"/>
              </w:rPr>
              <w:t>https://github.com/muhammadabdullah901/early-warning-api</w:t>
            </w:r>
          </w:p>
        </w:tc>
      </w:tr>
      <w:tr>
        <w:tc>
          <w:tcPr>
            <w:tcW w:type="dxa" w:w="3600"/>
            <w:shd w:val="clear" w:color="auto" w:fill="EEF3FA"/>
          </w:tcPr>
          <w:p>
            <w:r/>
            <w:r>
              <w:rPr>
                <w:sz w:val="19"/>
              </w:rPr>
              <w:t>Hosting (Hugging Face Space)</w:t>
            </w:r>
          </w:p>
        </w:tc>
        <w:tc>
          <w:tcPr>
            <w:tcW w:type="dxa" w:w="9360"/>
            <w:shd w:val="clear" w:color="auto" w:fill="EEF3FA"/>
          </w:tcPr>
          <w:p>
            <w:r/>
            <w:r>
              <w:rPr>
                <w:sz w:val="19"/>
              </w:rPr>
              <w:t>https://huggingface.co/spaces/muhammadabdullah31808/early-warning-api</w:t>
            </w:r>
          </w:p>
        </w:tc>
      </w:tr>
    </w:tbl>
    <w:p>
      <w:pPr>
        <w:spacing w:after="40"/>
      </w:pPr>
    </w:p>
    <w:p>
      <w:pPr>
        <w:keepNext/>
        <w:spacing w:before="240" w:after="100"/>
      </w:pPr>
      <w:r>
        <w:rPr>
          <w:b/>
          <w:color w:val="1F3864"/>
          <w:sz w:val="30"/>
        </w:rPr>
        <w:t>1. The task — what I was asked to build</w:t>
      </w:r>
    </w:p>
    <w:p>
      <w:pPr>
        <w:spacing w:after="120"/>
      </w:pPr>
      <w:r>
        <w:rPr>
          <w:b w:val="0"/>
          <w:i w:val="0"/>
          <w:sz w:val="22"/>
        </w:rPr>
        <w:t>My module for the Student ERP had two parts:</w:t>
      </w:r>
    </w:p>
    <w:p>
      <w:pPr>
        <w:pStyle w:val="ListBullet"/>
        <w:spacing w:after="60"/>
      </w:pPr>
      <w:r>
        <w:rPr>
          <w:b/>
        </w:rPr>
        <w:t>Prediction models</w:t>
      </w:r>
      <w:r>
        <w:t xml:space="preserve"> — predict whether a student may fail, drop out, default on fees, their future GPA, admission chances, and personalised recommendations.</w:t>
      </w:r>
    </w:p>
    <w:p>
      <w:pPr>
        <w:pStyle w:val="ListBullet"/>
        <w:spacing w:after="60"/>
      </w:pPr>
      <w:r>
        <w:rPr>
          <w:b/>
        </w:rPr>
        <w:t>Early Warning System</w:t>
      </w:r>
      <w:r>
        <w:t xml:space="preserve"> — turn those predictions into clear alerts (fail risk, low attendance, dropout risk, fee risk) and connect them with the ERP.</w:t>
      </w:r>
    </w:p>
    <w:p>
      <w:pPr>
        <w:spacing w:after="120"/>
      </w:pPr>
      <w:r>
        <w:rPr>
          <w:b w:val="0"/>
          <w:i w:val="0"/>
          <w:sz w:val="22"/>
        </w:rPr>
        <w:t>The deliverables were a FastAPI backend, ERP integration, and API documentation. All are complete, and the API is also deployed live.</w:t>
      </w:r>
    </w:p>
    <w:p>
      <w:pPr>
        <w:keepNext/>
        <w:spacing w:before="240" w:after="100"/>
      </w:pPr>
      <w:r>
        <w:rPr>
          <w:b/>
          <w:color w:val="1F3864"/>
          <w:sz w:val="30"/>
        </w:rPr>
        <w:t>2. What I built (summary)</w:t>
      </w:r>
    </w:p>
    <w:p>
      <w:pPr>
        <w:pStyle w:val="ListBullet"/>
        <w:spacing w:after="60"/>
      </w:pPr>
      <w:r>
        <w:rPr>
          <w:b/>
        </w:rPr>
        <w:t>FastAPI backend</w:t>
      </w:r>
      <w:r>
        <w:t xml:space="preserve"> — 6 prediction endpoints + 1 alerts endpoint, all working and tested.</w:t>
      </w:r>
    </w:p>
    <w:p>
      <w:pPr>
        <w:pStyle w:val="ListBullet"/>
        <w:spacing w:after="60"/>
      </w:pPr>
      <w:r>
        <w:rPr>
          <w:b/>
        </w:rPr>
        <w:t>Alerts engine</w:t>
      </w:r>
      <w:r>
        <w:t xml:space="preserve"> — converts prediction scores into actionable alerts with a severity level.</w:t>
      </w:r>
    </w:p>
    <w:p>
      <w:pPr>
        <w:pStyle w:val="ListBullet"/>
        <w:spacing w:after="60"/>
      </w:pPr>
      <w:r>
        <w:rPr>
          <w:b/>
        </w:rPr>
        <w:t>ERP integration</w:t>
      </w:r>
      <w:r>
        <w:t xml:space="preserve"> — one clean layer that talks to the ERP; runs on mock data now, switches to the real ERP with one setting.</w:t>
      </w:r>
    </w:p>
    <w:p>
      <w:pPr>
        <w:pStyle w:val="ListBullet"/>
        <w:spacing w:after="60"/>
      </w:pPr>
      <w:r>
        <w:rPr>
          <w:b/>
        </w:rPr>
        <w:t>Documentation</w:t>
      </w:r>
      <w:r>
        <w:t xml:space="preserve"> — interactive Swagger docs, a written reference, and this document.</w:t>
      </w:r>
    </w:p>
    <w:p>
      <w:pPr>
        <w:pStyle w:val="ListBullet"/>
        <w:spacing w:after="60"/>
      </w:pPr>
      <w:r>
        <w:rPr>
          <w:b/>
        </w:rPr>
        <w:t>Live deployment</w:t>
      </w:r>
      <w:r>
        <w:t xml:space="preserve"> — the API runs on the internet (Hugging Face) with the code on GitHub.</w:t>
      </w:r>
    </w:p>
    <w:p>
      <w:pPr>
        <w:keepNext/>
        <w:spacing w:before="240" w:after="100"/>
      </w:pPr>
      <w:r>
        <w:rPr>
          <w:b/>
          <w:color w:val="1F3864"/>
          <w:sz w:val="30"/>
        </w:rPr>
        <w:t>3. The API routes (with full addresses)</w:t>
      </w:r>
    </w:p>
    <w:p>
      <w:pPr>
        <w:spacing w:after="80"/>
      </w:pPr>
      <w:r>
        <w:rPr>
          <w:b/>
          <w:i w:val="0"/>
          <w:color w:val="2E75B6"/>
          <w:sz w:val="22"/>
        </w:rPr>
        <w:t>Base URL: https://muhammadabdullah31808-early-warning-api.hf.space</w:t>
      </w:r>
    </w:p>
    <w:p>
      <w:pPr>
        <w:spacing w:after="120"/>
      </w:pPr>
      <w:r>
        <w:rPr>
          <w:b w:val="0"/>
          <w:i w:val="0"/>
          <w:sz w:val="22"/>
        </w:rPr>
        <w:t>The full address of any route = base URL + the path below. For example, the student-risk route is at .../prediction/student-risk.</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2E75B6"/>
          </w:tcPr>
          <w:p>
            <w:r/>
            <w:r>
              <w:rPr>
                <w:b/>
                <w:color w:val="FFFFFF"/>
                <w:sz w:val="20"/>
              </w:rPr>
              <w:t>Method</w:t>
            </w:r>
          </w:p>
        </w:tc>
        <w:tc>
          <w:tcPr>
            <w:tcW w:type="dxa" w:w="4752"/>
            <w:shd w:val="clear" w:color="auto" w:fill="2E75B6"/>
          </w:tcPr>
          <w:p>
            <w:r/>
            <w:r>
              <w:rPr>
                <w:b/>
                <w:color w:val="FFFFFF"/>
                <w:sz w:val="20"/>
              </w:rPr>
              <w:t>Path</w:t>
            </w:r>
          </w:p>
        </w:tc>
        <w:tc>
          <w:tcPr>
            <w:tcW w:type="dxa" w:w="6912"/>
            <w:shd w:val="clear" w:color="auto" w:fill="2E75B6"/>
          </w:tcPr>
          <w:p>
            <w:r/>
            <w:r>
              <w:rPr>
                <w:b/>
                <w:color w:val="FFFFFF"/>
                <w:sz w:val="20"/>
              </w:rPr>
              <w:t>What it does</w:t>
            </w:r>
          </w:p>
        </w:tc>
      </w:tr>
      <w:tr>
        <w:tc>
          <w:tcPr>
            <w:tcW w:type="dxa" w:w="1296"/>
          </w:tcPr>
          <w:p>
            <w:r/>
            <w:r>
              <w:rPr>
                <w:sz w:val="19"/>
              </w:rPr>
              <w:t>GET</w:t>
            </w:r>
          </w:p>
        </w:tc>
        <w:tc>
          <w:tcPr>
            <w:tcW w:type="dxa" w:w="4752"/>
          </w:tcPr>
          <w:p>
            <w:r/>
            <w:r>
              <w:rPr>
                <w:sz w:val="19"/>
              </w:rPr>
              <w:t>/health</w:t>
            </w:r>
          </w:p>
        </w:tc>
        <w:tc>
          <w:tcPr>
            <w:tcW w:type="dxa" w:w="6912"/>
          </w:tcPr>
          <w:p>
            <w:r/>
            <w:r>
              <w:rPr>
                <w:sz w:val="19"/>
              </w:rPr>
              <w:t>Check the server is running.</w:t>
            </w:r>
          </w:p>
        </w:tc>
      </w:tr>
      <w:tr>
        <w:tc>
          <w:tcPr>
            <w:tcW w:type="dxa" w:w="1296"/>
            <w:shd w:val="clear" w:color="auto" w:fill="EEF3FA"/>
          </w:tcPr>
          <w:p>
            <w:r/>
            <w:r>
              <w:rPr>
                <w:sz w:val="19"/>
              </w:rPr>
              <w:t>POST</w:t>
            </w:r>
          </w:p>
        </w:tc>
        <w:tc>
          <w:tcPr>
            <w:tcW w:type="dxa" w:w="4752"/>
            <w:shd w:val="clear" w:color="auto" w:fill="EEF3FA"/>
          </w:tcPr>
          <w:p>
            <w:r/>
            <w:r>
              <w:rPr>
                <w:sz w:val="19"/>
              </w:rPr>
              <w:t>/prediction/student-risk</w:t>
            </w:r>
          </w:p>
        </w:tc>
        <w:tc>
          <w:tcPr>
            <w:tcW w:type="dxa" w:w="6912"/>
            <w:shd w:val="clear" w:color="auto" w:fill="EEF3FA"/>
          </w:tcPr>
          <w:p>
            <w:r/>
            <w:r>
              <w:rPr>
                <w:sz w:val="19"/>
              </w:rPr>
              <w:t>Academic risk + whether the student may fail.</w:t>
            </w:r>
          </w:p>
        </w:tc>
      </w:tr>
      <w:tr>
        <w:tc>
          <w:tcPr>
            <w:tcW w:type="dxa" w:w="1296"/>
          </w:tcPr>
          <w:p>
            <w:r/>
            <w:r>
              <w:rPr>
                <w:sz w:val="19"/>
              </w:rPr>
              <w:t>POST</w:t>
            </w:r>
          </w:p>
        </w:tc>
        <w:tc>
          <w:tcPr>
            <w:tcW w:type="dxa" w:w="4752"/>
          </w:tcPr>
          <w:p>
            <w:r/>
            <w:r>
              <w:rPr>
                <w:sz w:val="19"/>
              </w:rPr>
              <w:t>/prediction/dropout</w:t>
            </w:r>
          </w:p>
        </w:tc>
        <w:tc>
          <w:tcPr>
            <w:tcW w:type="dxa" w:w="6912"/>
          </w:tcPr>
          <w:p>
            <w:r/>
            <w:r>
              <w:rPr>
                <w:sz w:val="19"/>
              </w:rPr>
              <w:t>Probability the student drops out.</w:t>
            </w:r>
          </w:p>
        </w:tc>
      </w:tr>
      <w:tr>
        <w:tc>
          <w:tcPr>
            <w:tcW w:type="dxa" w:w="1296"/>
            <w:shd w:val="clear" w:color="auto" w:fill="EEF3FA"/>
          </w:tcPr>
          <w:p>
            <w:r/>
            <w:r>
              <w:rPr>
                <w:sz w:val="19"/>
              </w:rPr>
              <w:t>POST</w:t>
            </w:r>
          </w:p>
        </w:tc>
        <w:tc>
          <w:tcPr>
            <w:tcW w:type="dxa" w:w="4752"/>
            <w:shd w:val="clear" w:color="auto" w:fill="EEF3FA"/>
          </w:tcPr>
          <w:p>
            <w:r/>
            <w:r>
              <w:rPr>
                <w:sz w:val="19"/>
              </w:rPr>
              <w:t>/prediction/gpa</w:t>
            </w:r>
          </w:p>
        </w:tc>
        <w:tc>
          <w:tcPr>
            <w:tcW w:type="dxa" w:w="6912"/>
            <w:shd w:val="clear" w:color="auto" w:fill="EEF3FA"/>
          </w:tcPr>
          <w:p>
            <w:r/>
            <w:r>
              <w:rPr>
                <w:sz w:val="19"/>
              </w:rPr>
              <w:t>Predicted GPA for next term.</w:t>
            </w:r>
          </w:p>
        </w:tc>
      </w:tr>
      <w:tr>
        <w:tc>
          <w:tcPr>
            <w:tcW w:type="dxa" w:w="1296"/>
          </w:tcPr>
          <w:p>
            <w:r/>
            <w:r>
              <w:rPr>
                <w:sz w:val="19"/>
              </w:rPr>
              <w:t>POST</w:t>
            </w:r>
          </w:p>
        </w:tc>
        <w:tc>
          <w:tcPr>
            <w:tcW w:type="dxa" w:w="4752"/>
          </w:tcPr>
          <w:p>
            <w:r/>
            <w:r>
              <w:rPr>
                <w:sz w:val="19"/>
              </w:rPr>
              <w:t>/prediction/fee-default</w:t>
            </w:r>
          </w:p>
        </w:tc>
        <w:tc>
          <w:tcPr>
            <w:tcW w:type="dxa" w:w="6912"/>
          </w:tcPr>
          <w:p>
            <w:r/>
            <w:r>
              <w:rPr>
                <w:sz w:val="19"/>
              </w:rPr>
              <w:t>Probability the fee is defaulted / paid late.</w:t>
            </w:r>
          </w:p>
        </w:tc>
      </w:tr>
      <w:tr>
        <w:tc>
          <w:tcPr>
            <w:tcW w:type="dxa" w:w="1296"/>
            <w:shd w:val="clear" w:color="auto" w:fill="EEF3FA"/>
          </w:tcPr>
          <w:p>
            <w:r/>
            <w:r>
              <w:rPr>
                <w:sz w:val="19"/>
              </w:rPr>
              <w:t>POST</w:t>
            </w:r>
          </w:p>
        </w:tc>
        <w:tc>
          <w:tcPr>
            <w:tcW w:type="dxa" w:w="4752"/>
            <w:shd w:val="clear" w:color="auto" w:fill="EEF3FA"/>
          </w:tcPr>
          <w:p>
            <w:r/>
            <w:r>
              <w:rPr>
                <w:sz w:val="19"/>
              </w:rPr>
              <w:t>/prediction/admissions</w:t>
            </w:r>
          </w:p>
        </w:tc>
        <w:tc>
          <w:tcPr>
            <w:tcW w:type="dxa" w:w="6912"/>
            <w:shd w:val="clear" w:color="auto" w:fill="EEF3FA"/>
          </w:tcPr>
          <w:p>
            <w:r/>
            <w:r>
              <w:rPr>
                <w:sz w:val="19"/>
              </w:rPr>
              <w:t>Admission probability + decision for an applicant.</w:t>
            </w:r>
          </w:p>
        </w:tc>
      </w:tr>
      <w:tr>
        <w:tc>
          <w:tcPr>
            <w:tcW w:type="dxa" w:w="1296"/>
          </w:tcPr>
          <w:p>
            <w:r/>
            <w:r>
              <w:rPr>
                <w:sz w:val="19"/>
              </w:rPr>
              <w:t>POST</w:t>
            </w:r>
          </w:p>
        </w:tc>
        <w:tc>
          <w:tcPr>
            <w:tcW w:type="dxa" w:w="4752"/>
          </w:tcPr>
          <w:p>
            <w:r/>
            <w:r>
              <w:rPr>
                <w:sz w:val="19"/>
              </w:rPr>
              <w:t>/prediction/recommendations</w:t>
            </w:r>
          </w:p>
        </w:tc>
        <w:tc>
          <w:tcPr>
            <w:tcW w:type="dxa" w:w="6912"/>
          </w:tcPr>
          <w:p>
            <w:r/>
            <w:r>
              <w:rPr>
                <w:sz w:val="19"/>
              </w:rPr>
              <w:t>Personalised suggestions for the student.</w:t>
            </w:r>
          </w:p>
        </w:tc>
      </w:tr>
      <w:tr>
        <w:tc>
          <w:tcPr>
            <w:tcW w:type="dxa" w:w="1296"/>
            <w:shd w:val="clear" w:color="auto" w:fill="EEF3FA"/>
          </w:tcPr>
          <w:p>
            <w:r/>
            <w:r>
              <w:rPr>
                <w:sz w:val="19"/>
              </w:rPr>
              <w:t>GET</w:t>
            </w:r>
          </w:p>
        </w:tc>
        <w:tc>
          <w:tcPr>
            <w:tcW w:type="dxa" w:w="4752"/>
            <w:shd w:val="clear" w:color="auto" w:fill="EEF3FA"/>
          </w:tcPr>
          <w:p>
            <w:r/>
            <w:r>
              <w:rPr>
                <w:sz w:val="19"/>
              </w:rPr>
              <w:t>/alerts/student/{id}</w:t>
            </w:r>
          </w:p>
        </w:tc>
        <w:tc>
          <w:tcPr>
            <w:tcW w:type="dxa" w:w="6912"/>
            <w:shd w:val="clear" w:color="auto" w:fill="EEF3FA"/>
          </w:tcPr>
          <w:p>
            <w:r/>
            <w:r>
              <w:rPr>
                <w:sz w:val="19"/>
              </w:rPr>
              <w:t>All early-warning alerts for a student (reads the ERP).</w:t>
            </w:r>
          </w:p>
        </w:tc>
      </w:tr>
    </w:tbl>
    <w:p>
      <w:pPr>
        <w:spacing w:after="40"/>
      </w:pPr>
    </w:p>
    <w:p>
      <w:pPr>
        <w:keepNext/>
        <w:spacing w:before="160" w:after="80"/>
      </w:pPr>
      <w:r>
        <w:rPr>
          <w:b/>
          <w:color w:val="2E75B6"/>
          <w:sz w:val="26"/>
        </w:rPr>
        <w:t>Example — request and the real response from the live server</w:t>
      </w:r>
    </w:p>
    <w:p>
      <w:pPr>
        <w:spacing w:after="40"/>
      </w:pPr>
      <w:r>
        <w:rPr>
          <w:b/>
          <w:i w:val="0"/>
          <w:sz w:val="22"/>
        </w:rPr>
        <w:t>POST /prediction/student-risk  — request body:</w:t>
      </w:r>
    </w:p>
    <w:p>
      <w:pPr>
        <w:spacing w:after="160"/>
        <w:ind w:left="216"/>
      </w:pPr>
      <w:r>
        <w:rPr>
          <w:rFonts w:ascii="Consolas" w:hAnsi="Consolas"/>
          <w:sz w:val="19"/>
        </w:rPr>
        <w:t>{</w:t>
        <w:br/>
        <w:t xml:space="preserve">  "student_id": "STU-1001",</w:t>
        <w:br/>
        <w:t xml:space="preserve">  "attendance_percentage": 45,</w:t>
        <w:br/>
        <w:t xml:space="preserve">  "current_gpa": 1.6,</w:t>
        <w:br/>
        <w:t xml:space="preserve">  "assignments_submitted": 2,</w:t>
        <w:br/>
        <w:t xml:space="preserve">  "assignments_total": 10,</w:t>
        <w:br/>
        <w:t xml:space="preserve">  "backlogs": 3</w:t>
        <w:br/>
        <w:t>}</w:t>
      </w:r>
    </w:p>
    <w:p>
      <w:pPr>
        <w:spacing w:after="40"/>
      </w:pPr>
      <w:r>
        <w:rPr>
          <w:b/>
          <w:i w:val="0"/>
          <w:sz w:val="22"/>
        </w:rPr>
        <w:t>Response (actual output):</w:t>
      </w:r>
    </w:p>
    <w:p>
      <w:pPr>
        <w:spacing w:after="160"/>
        <w:ind w:left="216"/>
      </w:pPr>
      <w:r>
        <w:rPr>
          <w:rFonts w:ascii="Consolas" w:hAnsi="Consolas"/>
          <w:sz w:val="19"/>
        </w:rPr>
        <w:t>{</w:t>
        <w:br/>
        <w:t xml:space="preserve">  "student_id": "STU-1001",</w:t>
        <w:br/>
        <w:t xml:space="preserve">  "risk_score": 0.623,</w:t>
        <w:br/>
        <w:t xml:space="preserve">  "risk_level": "high",</w:t>
        <w:br/>
        <w:t xml:space="preserve">  "may_fail": true,</w:t>
        <w:br/>
        <w:t xml:space="preserve">  "alerts": [</w:t>
        <w:br/>
        <w:t xml:space="preserve">    { "type": "may_fail", "severity": "high",</w:t>
        <w:br/>
        <w:t xml:space="preserve">      "message": "High academic risk (score 0.62). Student may fail." },</w:t>
        <w:br/>
        <w:t xml:space="preserve">    { "type": "low_attendance", "severity": "high",</w:t>
        <w:br/>
        <w:t xml:space="preserve">      "message": "Attendance is 45%, below the required 75%." }</w:t>
        <w:br/>
        <w:t xml:space="preserve">  ]</w:t>
        <w:br/>
        <w:t>}</w:t>
      </w:r>
    </w:p>
    <w:p>
      <w:pPr>
        <w:keepNext/>
        <w:spacing w:before="240" w:after="100"/>
      </w:pPr>
      <w:r>
        <w:rPr>
          <w:b/>
          <w:color w:val="1F3864"/>
          <w:sz w:val="30"/>
        </w:rPr>
        <w:t>4. How a frontend developer uses this API</w:t>
      </w:r>
    </w:p>
    <w:p>
      <w:pPr>
        <w:spacing w:after="120"/>
      </w:pPr>
      <w:r>
        <w:rPr>
          <w:b w:val="0"/>
          <w:i w:val="0"/>
          <w:sz w:val="22"/>
        </w:rPr>
        <w:t>The API is a standard REST + JSON service, so any frontend (React, Angular, Vue, plain JavaScript or mobile) can call it. No API key is needed right now, and CORS is enabled so it works directly from the browser. Three easy ways:</w:t>
      </w:r>
    </w:p>
    <w:p>
      <w:pPr>
        <w:pStyle w:val="ListBullet"/>
        <w:spacing w:after="60"/>
      </w:pPr>
      <w:r>
        <w:rPr>
          <w:b/>
        </w:rPr>
        <w:t>1. In the browser</w:t>
      </w:r>
      <w:r>
        <w:t xml:space="preserve"> — open the live docs (…/docs), press 'Try it out' on any route, edit the data, press Execute. The response shows instantly.</w:t>
      </w:r>
    </w:p>
    <w:p>
      <w:pPr>
        <w:pStyle w:val="ListBullet"/>
        <w:spacing w:after="60"/>
      </w:pPr>
      <w:r>
        <w:rPr>
          <w:b/>
        </w:rPr>
        <w:t>2. From code</w:t>
      </w:r>
      <w:r>
        <w:t xml:space="preserve"> — send a normal HTTP request from the app (example below).</w:t>
      </w:r>
    </w:p>
    <w:p>
      <w:pPr>
        <w:pStyle w:val="ListBullet"/>
        <w:spacing w:after="60"/>
      </w:pPr>
      <w:r>
        <w:rPr>
          <w:b/>
        </w:rPr>
        <w:t>3. Quick check</w:t>
      </w:r>
      <w:r>
        <w:t xml:space="preserve"> — open a GET route (…/health, …/alerts/student/STU-1001) directly in a browser.</w:t>
      </w:r>
    </w:p>
    <w:p>
      <w:pPr>
        <w:spacing w:after="40"/>
      </w:pPr>
      <w:r>
        <w:rPr>
          <w:b/>
          <w:i w:val="0"/>
          <w:sz w:val="22"/>
        </w:rPr>
        <w:t>JavaScript example (fetch):</w:t>
      </w:r>
    </w:p>
    <w:p>
      <w:pPr>
        <w:spacing w:after="160"/>
        <w:ind w:left="216"/>
      </w:pPr>
      <w:r>
        <w:rPr>
          <w:rFonts w:ascii="Consolas" w:hAnsi="Consolas"/>
          <w:sz w:val="19"/>
        </w:rPr>
        <w:t>const res = await fetch(</w:t>
        <w:br/>
        <w:t xml:space="preserve">  'https://muhammadabdullah31808-early-warning-api.hf.space/prediction/student-risk',</w:t>
        <w:br/>
        <w:t xml:space="preserve">  {</w:t>
        <w:br/>
        <w:t xml:space="preserve">    method: 'POST',</w:t>
        <w:br/>
        <w:t xml:space="preserve">    headers: { 'Content-Type': 'application/json' },</w:t>
        <w:br/>
        <w:t xml:space="preserve">    body: JSON.stringify({</w:t>
        <w:br/>
        <w:t xml:space="preserve">      student_id: 'STU-1001', attendance_percentage: 45, current_gpa: 1.6,</w:t>
        <w:br/>
        <w:t xml:space="preserve">      assignments_submitted: 2, assignments_total: 10, backlogs: 3</w:t>
        <w:br/>
        <w:t xml:space="preserve">    })</w:t>
        <w:br/>
        <w:t xml:space="preserve">  }</w:t>
        <w:br/>
        <w:t>);</w:t>
        <w:br/>
        <w:t>const data = await res.json();</w:t>
        <w:br/>
        <w:t>console.log(data.risk_level, data.may_fail, data.alerts);</w:t>
      </w:r>
    </w:p>
    <w:p>
      <w:pPr>
        <w:spacing w:after="120"/>
      </w:pPr>
      <w:r>
        <w:rPr>
          <w:b w:val="0"/>
          <w:i/>
          <w:color w:val="555555"/>
          <w:sz w:val="22"/>
        </w:rPr>
        <w:t>The frontend reads the JSON response (risk_score, risk_level, may_fail, alerts) and shows it on screen. Every route's exact fields are listed on the …/docs page, so the frontend developer never has to guess.</w:t>
      </w:r>
    </w:p>
    <w:p>
      <w:pPr>
        <w:keepNext/>
        <w:spacing w:before="240" w:after="100"/>
      </w:pPr>
      <w:r>
        <w:rPr>
          <w:b/>
          <w:color w:val="1F3864"/>
          <w:sz w:val="30"/>
        </w:rPr>
        <w:t>5. The Early Warning System</w:t>
      </w:r>
    </w:p>
    <w:p>
      <w:pPr>
        <w:spacing w:after="120"/>
      </w:pPr>
      <w:r>
        <w:rPr>
          <w:b w:val="0"/>
          <w:i w:val="0"/>
          <w:sz w:val="22"/>
        </w:rPr>
        <w:t>After a prediction is calculated, the alert engine checks it against sensible thresholds and produces alerts. Each alert has a type, a severity (low / medium / high) and a clear message. The four alert types are:</w:t>
      </w:r>
    </w:p>
    <w:p>
      <w:pPr>
        <w:pStyle w:val="ListBullet"/>
        <w:spacing w:after="60"/>
      </w:pPr>
      <w:r>
        <w:rPr>
          <w:b/>
        </w:rPr>
        <w:t>Student may fail</w:t>
      </w:r>
      <w:r>
        <w:t xml:space="preserve"> — academic risk is high enough that the student may fail.</w:t>
      </w:r>
    </w:p>
    <w:p>
      <w:pPr>
        <w:pStyle w:val="ListBullet"/>
        <w:spacing w:after="60"/>
      </w:pPr>
      <w:r>
        <w:rPr>
          <w:b/>
        </w:rPr>
        <w:t>Low attendance</w:t>
      </w:r>
      <w:r>
        <w:t xml:space="preserve"> — attendance is below the required 75%.</w:t>
      </w:r>
    </w:p>
    <w:p>
      <w:pPr>
        <w:pStyle w:val="ListBullet"/>
        <w:spacing w:after="60"/>
      </w:pPr>
      <w:r>
        <w:rPr>
          <w:b/>
        </w:rPr>
        <w:t>Dropout risk</w:t>
      </w:r>
      <w:r>
        <w:t xml:space="preserve"> — the dropout probability is high.</w:t>
      </w:r>
    </w:p>
    <w:p>
      <w:pPr>
        <w:pStyle w:val="ListBullet"/>
        <w:spacing w:after="60"/>
      </w:pPr>
      <w:r>
        <w:rPr>
          <w:b/>
        </w:rPr>
        <w:t>Fee payment risk</w:t>
      </w:r>
      <w:r>
        <w:t xml:space="preserve"> — the student is likely to pay late or default.</w:t>
      </w:r>
    </w:p>
    <w:p>
      <w:pPr>
        <w:spacing w:after="120"/>
      </w:pPr>
      <w:r>
        <w:rPr>
          <w:b w:val="0"/>
          <w:i w:val="0"/>
          <w:sz w:val="22"/>
        </w:rPr>
        <w:t>The GET /alerts/student/{id} route shows the full flow: it reads the student's record from the ERP, runs the checks, and returns every alert that applies (and pushes them back to the ERP in a real setup).</w:t>
      </w:r>
    </w:p>
    <w:p>
      <w:pPr>
        <w:keepNext/>
        <w:spacing w:before="240" w:after="100"/>
      </w:pPr>
      <w:r>
        <w:rPr>
          <w:b/>
          <w:color w:val="1F3864"/>
          <w:sz w:val="30"/>
        </w:rPr>
        <w:t>6. ERP integration</w:t>
      </w:r>
    </w:p>
    <w:p>
      <w:pPr>
        <w:spacing w:after="120"/>
      </w:pPr>
      <w:r>
        <w:rPr>
          <w:b w:val="0"/>
          <w:i w:val="0"/>
          <w:sz w:val="22"/>
        </w:rPr>
        <w:t>All ERP communication lives in one file (app/integrations/erp_client.py), with two modes controlled by the ERP_MOCK_MODE setting:</w:t>
      </w:r>
    </w:p>
    <w:p>
      <w:pPr>
        <w:pStyle w:val="ListBullet"/>
        <w:spacing w:after="60"/>
      </w:pPr>
      <w:r>
        <w:rPr>
          <w:b/>
        </w:rPr>
        <w:t>Mock mode</w:t>
      </w:r>
      <w:r>
        <w:t xml:space="preserve"> — the default; returns realistic sample students so the system works without the real ERP. This is what the live demo uses.</w:t>
      </w:r>
    </w:p>
    <w:p>
      <w:pPr>
        <w:pStyle w:val="ListBullet"/>
        <w:spacing w:after="60"/>
      </w:pPr>
      <w:r>
        <w:rPr>
          <w:b/>
        </w:rPr>
        <w:t>Real mode</w:t>
      </w:r>
      <w:r>
        <w:t xml:space="preserve"> — set ERP_MOCK_MODE=false and add the ERP URL + API key; the same code then talks to the real ERP. No other change needed.</w:t>
      </w:r>
    </w:p>
    <w:p>
      <w:pPr>
        <w:keepNext/>
        <w:spacing w:before="240" w:after="100"/>
      </w:pPr>
      <w:r>
        <w:rPr>
          <w:b/>
          <w:color w:val="1F3864"/>
          <w:sz w:val="30"/>
        </w:rPr>
        <w:t>7. How the code is organised</w:t>
      </w:r>
    </w:p>
    <w:p>
      <w:pPr>
        <w:spacing w:after="120"/>
      </w:pPr>
      <w:r>
        <w:rPr>
          <w:b w:val="0"/>
          <w:i w:val="0"/>
          <w:sz w:val="22"/>
        </w:rPr>
        <w:t>I used a layered structure so any developer can navigate it quickly — each folder has one job:</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2E75B6"/>
          </w:tcPr>
          <w:p>
            <w:r/>
            <w:r>
              <w:rPr>
                <w:b/>
                <w:color w:val="FFFFFF"/>
                <w:sz w:val="20"/>
              </w:rPr>
              <w:t>Folder</w:t>
            </w:r>
          </w:p>
        </w:tc>
        <w:tc>
          <w:tcPr>
            <w:tcW w:type="dxa" w:w="9792"/>
            <w:shd w:val="clear" w:color="auto" w:fill="2E75B6"/>
          </w:tcPr>
          <w:p>
            <w:r/>
            <w:r>
              <w:rPr>
                <w:b/>
                <w:color w:val="FFFFFF"/>
                <w:sz w:val="20"/>
              </w:rPr>
              <w:t>Responsibility</w:t>
            </w:r>
          </w:p>
        </w:tc>
      </w:tr>
      <w:tr>
        <w:tc>
          <w:tcPr>
            <w:tcW w:type="dxa" w:w="3168"/>
          </w:tcPr>
          <w:p>
            <w:r/>
            <w:r>
              <w:rPr>
                <w:sz w:val="19"/>
              </w:rPr>
              <w:t>app/api/routes/</w:t>
            </w:r>
          </w:p>
        </w:tc>
        <w:tc>
          <w:tcPr>
            <w:tcW w:type="dxa" w:w="9792"/>
          </w:tcPr>
          <w:p>
            <w:r/>
            <w:r>
              <w:rPr>
                <w:sz w:val="19"/>
              </w:rPr>
              <w:t>The endpoints — receive requests, return responses.</w:t>
            </w:r>
          </w:p>
        </w:tc>
      </w:tr>
      <w:tr>
        <w:tc>
          <w:tcPr>
            <w:tcW w:type="dxa" w:w="3168"/>
            <w:shd w:val="clear" w:color="auto" w:fill="EEF3FA"/>
          </w:tcPr>
          <w:p>
            <w:r/>
            <w:r>
              <w:rPr>
                <w:sz w:val="19"/>
              </w:rPr>
              <w:t>app/schemas/</w:t>
            </w:r>
          </w:p>
        </w:tc>
        <w:tc>
          <w:tcPr>
            <w:tcW w:type="dxa" w:w="9792"/>
            <w:shd w:val="clear" w:color="auto" w:fill="EEF3FA"/>
          </w:tcPr>
          <w:p>
            <w:r/>
            <w:r>
              <w:rPr>
                <w:sz w:val="19"/>
              </w:rPr>
              <w:t>Data shapes with automatic validation.</w:t>
            </w:r>
          </w:p>
        </w:tc>
      </w:tr>
      <w:tr>
        <w:tc>
          <w:tcPr>
            <w:tcW w:type="dxa" w:w="3168"/>
          </w:tcPr>
          <w:p>
            <w:r/>
            <w:r>
              <w:rPr>
                <w:sz w:val="19"/>
              </w:rPr>
              <w:t>app/services/</w:t>
            </w:r>
          </w:p>
        </w:tc>
        <w:tc>
          <w:tcPr>
            <w:tcW w:type="dxa" w:w="9792"/>
          </w:tcPr>
          <w:p>
            <w:r/>
            <w:r>
              <w:rPr>
                <w:sz w:val="19"/>
              </w:rPr>
              <w:t>Business logic — prediction and alert rules.</w:t>
            </w:r>
          </w:p>
        </w:tc>
      </w:tr>
      <w:tr>
        <w:tc>
          <w:tcPr>
            <w:tcW w:type="dxa" w:w="3168"/>
            <w:shd w:val="clear" w:color="auto" w:fill="EEF3FA"/>
          </w:tcPr>
          <w:p>
            <w:r/>
            <w:r>
              <w:rPr>
                <w:sz w:val="19"/>
              </w:rPr>
              <w:t>app/models/</w:t>
            </w:r>
          </w:p>
        </w:tc>
        <w:tc>
          <w:tcPr>
            <w:tcW w:type="dxa" w:w="9792"/>
            <w:shd w:val="clear" w:color="auto" w:fill="EEF3FA"/>
          </w:tcPr>
          <w:p>
            <w:r/>
            <w:r>
              <w:rPr>
                <w:sz w:val="19"/>
              </w:rPr>
              <w:t>ML model placeholder — swap in a real model here later.</w:t>
            </w:r>
          </w:p>
        </w:tc>
      </w:tr>
      <w:tr>
        <w:tc>
          <w:tcPr>
            <w:tcW w:type="dxa" w:w="3168"/>
          </w:tcPr>
          <w:p>
            <w:r/>
            <w:r>
              <w:rPr>
                <w:sz w:val="19"/>
              </w:rPr>
              <w:t>app/integrations/</w:t>
            </w:r>
          </w:p>
        </w:tc>
        <w:tc>
          <w:tcPr>
            <w:tcW w:type="dxa" w:w="9792"/>
          </w:tcPr>
          <w:p>
            <w:r/>
            <w:r>
              <w:rPr>
                <w:sz w:val="19"/>
              </w:rPr>
              <w:t>Talks to the ERP (mock or real).</w:t>
            </w:r>
          </w:p>
        </w:tc>
      </w:tr>
      <w:tr>
        <w:tc>
          <w:tcPr>
            <w:tcW w:type="dxa" w:w="3168"/>
            <w:shd w:val="clear" w:color="auto" w:fill="EEF3FA"/>
          </w:tcPr>
          <w:p>
            <w:r/>
            <w:r>
              <w:rPr>
                <w:sz w:val="19"/>
              </w:rPr>
              <w:t>tests/</w:t>
            </w:r>
          </w:p>
        </w:tc>
        <w:tc>
          <w:tcPr>
            <w:tcW w:type="dxa" w:w="9792"/>
            <w:shd w:val="clear" w:color="auto" w:fill="EEF3FA"/>
          </w:tcPr>
          <w:p>
            <w:r/>
            <w:r>
              <w:rPr>
                <w:sz w:val="19"/>
              </w:rPr>
              <w:t>Automated tests for every endpoint.</w:t>
            </w:r>
          </w:p>
        </w:tc>
      </w:tr>
    </w:tbl>
    <w:p>
      <w:pPr>
        <w:spacing w:after="40"/>
      </w:pPr>
    </w:p>
    <w:p>
      <w:pPr>
        <w:keepNext/>
        <w:spacing w:before="240" w:after="100"/>
      </w:pPr>
      <w:r>
        <w:rPr>
          <w:b/>
          <w:color w:val="1F3864"/>
          <w:sz w:val="30"/>
        </w:rPr>
        <w:t>8. How to run it locally</w:t>
      </w:r>
    </w:p>
    <w:p>
      <w:pPr>
        <w:spacing w:after="120"/>
      </w:pPr>
      <w:r>
        <w:rPr>
          <w:b w:val="0"/>
          <w:i w:val="0"/>
          <w:sz w:val="22"/>
        </w:rPr>
        <w:t>Python 3.10 or newer is required.</w:t>
      </w:r>
    </w:p>
    <w:p>
      <w:pPr>
        <w:spacing w:after="160"/>
        <w:ind w:left="216"/>
      </w:pPr>
      <w:r>
        <w:rPr>
          <w:rFonts w:ascii="Consolas" w:hAnsi="Consolas"/>
          <w:sz w:val="19"/>
        </w:rPr>
        <w:t>python3 -m venv .venv</w:t>
        <w:br/>
        <w:t>source .venv/bin/activate        # Windows: .venv\Scripts\activate</w:t>
        <w:br/>
        <w:t>pip install -r requirements.txt</w:t>
        <w:br/>
        <w:t>uvicorn app.main:app --reload</w:t>
      </w:r>
    </w:p>
    <w:p>
      <w:pPr>
        <w:spacing w:after="120"/>
      </w:pPr>
      <w:r>
        <w:rPr>
          <w:b w:val="0"/>
          <w:i w:val="0"/>
          <w:sz w:val="22"/>
        </w:rPr>
        <w:t>Then open http://127.0.0.1:8000/docs. Run the tests with: pytest</w:t>
      </w:r>
    </w:p>
    <w:p>
      <w:pPr>
        <w:keepNext/>
        <w:spacing w:before="240" w:after="100"/>
      </w:pPr>
      <w:r>
        <w:rPr>
          <w:b/>
          <w:color w:val="1F3864"/>
          <w:sz w:val="30"/>
        </w:rPr>
        <w:t>9. Deployment</w:t>
      </w:r>
    </w:p>
    <w:p>
      <w:pPr>
        <w:spacing w:after="120"/>
      </w:pPr>
      <w:r>
        <w:rPr>
          <w:b w:val="0"/>
          <w:i w:val="0"/>
          <w:sz w:val="22"/>
        </w:rPr>
        <w:t>The code is on GitHub and the live API runs on Hugging Face Spaces (using a Dockerfile, free plan, no card required). Each time new code is pushed, Hugging Face rebuilds and redeploys automatically. On the free plan the Space sleeps after long inactivity and wakes up in about half a minute on the next request — normal for free hosting.</w:t>
      </w:r>
    </w:p>
    <w:p>
      <w:pPr>
        <w:keepNext/>
        <w:spacing w:before="240" w:after="100"/>
      </w:pPr>
      <w:r>
        <w:rPr>
          <w:b/>
          <w:color w:val="1F3864"/>
          <w:sz w:val="30"/>
        </w:rPr>
        <w:t>10. Testing</w:t>
      </w:r>
    </w:p>
    <w:p>
      <w:pPr>
        <w:spacing w:after="120"/>
      </w:pPr>
      <w:r>
        <w:rPr>
          <w:b w:val="0"/>
          <w:i w:val="0"/>
          <w:sz w:val="22"/>
        </w:rPr>
        <w:t>The repository includes TESTING.md with four ready sample inputs for every route. Four sample students are already loaded for the alerts route:</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2E75B6"/>
          </w:tcPr>
          <w:p>
            <w:r/>
            <w:r>
              <w:rPr>
                <w:b/>
                <w:color w:val="FFFFFF"/>
                <w:sz w:val="20"/>
              </w:rPr>
              <w:t>Student ID</w:t>
            </w:r>
          </w:p>
        </w:tc>
        <w:tc>
          <w:tcPr>
            <w:tcW w:type="dxa" w:w="4752"/>
            <w:shd w:val="clear" w:color="auto" w:fill="2E75B6"/>
          </w:tcPr>
          <w:p>
            <w:r/>
            <w:r>
              <w:rPr>
                <w:b/>
                <w:color w:val="FFFFFF"/>
                <w:sz w:val="20"/>
              </w:rPr>
              <w:t>Profile</w:t>
            </w:r>
          </w:p>
        </w:tc>
        <w:tc>
          <w:tcPr>
            <w:tcW w:type="dxa" w:w="5760"/>
            <w:shd w:val="clear" w:color="auto" w:fill="2E75B6"/>
          </w:tcPr>
          <w:p>
            <w:r/>
            <w:r>
              <w:rPr>
                <w:b/>
                <w:color w:val="FFFFFF"/>
                <w:sz w:val="20"/>
              </w:rPr>
              <w:t>What you see</w:t>
            </w:r>
          </w:p>
        </w:tc>
      </w:tr>
      <w:tr>
        <w:tc>
          <w:tcPr>
            <w:tcW w:type="dxa" w:w="2448"/>
          </w:tcPr>
          <w:p>
            <w:r/>
            <w:r>
              <w:rPr>
                <w:sz w:val="19"/>
              </w:rPr>
              <w:t>STU-1001</w:t>
            </w:r>
          </w:p>
        </w:tc>
        <w:tc>
          <w:tcPr>
            <w:tcW w:type="dxa" w:w="4752"/>
          </w:tcPr>
          <w:p>
            <w:r/>
            <w:r>
              <w:rPr>
                <w:sz w:val="19"/>
              </w:rPr>
              <w:t>Ali Khan — at risk</w:t>
            </w:r>
          </w:p>
        </w:tc>
        <w:tc>
          <w:tcPr>
            <w:tcW w:type="dxa" w:w="5760"/>
          </w:tcPr>
          <w:p>
            <w:r/>
            <w:r>
              <w:rPr>
                <w:sz w:val="19"/>
              </w:rPr>
              <w:t>Fail + low-attendance alerts</w:t>
            </w:r>
          </w:p>
        </w:tc>
      </w:tr>
      <w:tr>
        <w:tc>
          <w:tcPr>
            <w:tcW w:type="dxa" w:w="2448"/>
            <w:shd w:val="clear" w:color="auto" w:fill="EEF3FA"/>
          </w:tcPr>
          <w:p>
            <w:r/>
            <w:r>
              <w:rPr>
                <w:sz w:val="19"/>
              </w:rPr>
              <w:t>STU-1002</w:t>
            </w:r>
          </w:p>
        </w:tc>
        <w:tc>
          <w:tcPr>
            <w:tcW w:type="dxa" w:w="4752"/>
            <w:shd w:val="clear" w:color="auto" w:fill="EEF3FA"/>
          </w:tcPr>
          <w:p>
            <w:r/>
            <w:r>
              <w:rPr>
                <w:sz w:val="19"/>
              </w:rPr>
              <w:t>Sara Ahmed — healthy</w:t>
            </w:r>
          </w:p>
        </w:tc>
        <w:tc>
          <w:tcPr>
            <w:tcW w:type="dxa" w:w="5760"/>
            <w:shd w:val="clear" w:color="auto" w:fill="EEF3FA"/>
          </w:tcPr>
          <w:p>
            <w:r/>
            <w:r>
              <w:rPr>
                <w:sz w:val="19"/>
              </w:rPr>
              <w:t>No alerts</w:t>
            </w:r>
          </w:p>
        </w:tc>
      </w:tr>
      <w:tr>
        <w:tc>
          <w:tcPr>
            <w:tcW w:type="dxa" w:w="2448"/>
          </w:tcPr>
          <w:p>
            <w:r/>
            <w:r>
              <w:rPr>
                <w:sz w:val="19"/>
              </w:rPr>
              <w:t>STU-1003</w:t>
            </w:r>
          </w:p>
        </w:tc>
        <w:tc>
          <w:tcPr>
            <w:tcW w:type="dxa" w:w="4752"/>
          </w:tcPr>
          <w:p>
            <w:r/>
            <w:r>
              <w:rPr>
                <w:sz w:val="19"/>
              </w:rPr>
              <w:t>Bilal Hussain — medium</w:t>
            </w:r>
          </w:p>
        </w:tc>
        <w:tc>
          <w:tcPr>
            <w:tcW w:type="dxa" w:w="5760"/>
          </w:tcPr>
          <w:p>
            <w:r/>
            <w:r>
              <w:rPr>
                <w:sz w:val="19"/>
              </w:rPr>
              <w:t>Attendance, dropout &amp; fee alerts</w:t>
            </w:r>
          </w:p>
        </w:tc>
      </w:tr>
      <w:tr>
        <w:tc>
          <w:tcPr>
            <w:tcW w:type="dxa" w:w="2448"/>
            <w:shd w:val="clear" w:color="auto" w:fill="EEF3FA"/>
          </w:tcPr>
          <w:p>
            <w:r/>
            <w:r>
              <w:rPr>
                <w:sz w:val="19"/>
              </w:rPr>
              <w:t>STU-1004</w:t>
            </w:r>
          </w:p>
        </w:tc>
        <w:tc>
          <w:tcPr>
            <w:tcW w:type="dxa" w:w="4752"/>
            <w:shd w:val="clear" w:color="auto" w:fill="EEF3FA"/>
          </w:tcPr>
          <w:p>
            <w:r/>
            <w:r>
              <w:rPr>
                <w:sz w:val="19"/>
              </w:rPr>
              <w:t>Hina Raza — high risk</w:t>
            </w:r>
          </w:p>
        </w:tc>
        <w:tc>
          <w:tcPr>
            <w:tcW w:type="dxa" w:w="5760"/>
            <w:shd w:val="clear" w:color="auto" w:fill="EEF3FA"/>
          </w:tcPr>
          <w:p>
            <w:r/>
            <w:r>
              <w:rPr>
                <w:sz w:val="19"/>
              </w:rPr>
              <w:t>Fail, attendance, dropout &amp; fee alerts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