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F3864"/>
          <w:sz w:val="60"/>
        </w:rPr>
        <w:t>Early Warning System</w:t>
        <w:br/>
        <w:t>&amp; Prediction API</w:t>
      </w:r>
    </w:p>
    <w:p>
      <w:pPr>
        <w:jc w:val="center"/>
      </w:pPr>
      <w:r>
        <w:rPr>
          <w:i/>
          <w:color w:val="2E75B6"/>
          <w:sz w:val="28"/>
        </w:rPr>
        <w:t>Internship Project — Handover &amp; Documentation</w:t>
      </w:r>
    </w:p>
    <w:p/>
    <w:p>
      <w:pPr>
        <w:jc w:val="center"/>
      </w:pPr>
      <w:r>
        <w:rPr>
          <w:color w:val="555555"/>
          <w:sz w:val="22"/>
        </w:rPr>
        <w:t>A FastAPI backend that predicts student risk, dropout, GPA, fee</w:t>
        <w:br/>
        <w:t>defaults and admissions, and raises early-warning alerts for a</w:t>
        <w:br/>
        <w:t>Student ERP system.</w:t>
      </w:r>
    </w:p>
    <w:p/>
    <w:p/>
    <w:p/>
    <w:p/>
    <w:p/>
    <w:p/>
    <w:tbl>
      <w:tblPr>
        <w:tblW w:type="auto" w:w="0"/>
        <w:jc w:val="center"/>
        <w:tblLook w:firstColumn="1" w:firstRow="1" w:lastColumn="0" w:lastRow="0" w:noHBand="0" w:noVBand="1" w:val="04A0"/>
      </w:tblPr>
      <w:tblGrid>
        <w:gridCol w:w="4320"/>
        <w:gridCol w:w="4320"/>
      </w:tblGrid>
      <w:tr>
        <w:tc>
          <w:tcPr>
            <w:tcW w:type="dxa" w:w="2880"/>
          </w:tcPr>
          <w:p>
            <w:r/>
            <w:r>
              <w:rPr>
                <w:b/>
                <w:color w:val="1F3864"/>
                <w:sz w:val="22"/>
              </w:rPr>
              <w:t>Prepared by</w:t>
            </w:r>
          </w:p>
        </w:tc>
        <w:tc>
          <w:tcPr>
            <w:tcW w:type="dxa" w:w="5040"/>
          </w:tcPr>
          <w:p>
            <w:r/>
            <w:r>
              <w:rPr>
                <w:sz w:val="22"/>
              </w:rPr>
              <w:t>Muhammad Abdullah</w:t>
            </w:r>
          </w:p>
        </w:tc>
      </w:tr>
      <w:tr>
        <w:tc>
          <w:tcPr>
            <w:tcW w:type="dxa" w:w="2880"/>
          </w:tcPr>
          <w:p>
            <w:r/>
            <w:r>
              <w:rPr>
                <w:b/>
                <w:color w:val="1F3864"/>
                <w:sz w:val="22"/>
              </w:rPr>
              <w:t>Role</w:t>
            </w:r>
          </w:p>
        </w:tc>
        <w:tc>
          <w:tcPr>
            <w:tcW w:type="dxa" w:w="5040"/>
          </w:tcPr>
          <w:p>
            <w:r/>
            <w:r>
              <w:rPr>
                <w:sz w:val="22"/>
              </w:rPr>
              <w:t>Backend Developer (Intern)</w:t>
            </w:r>
          </w:p>
        </w:tc>
      </w:tr>
      <w:tr>
        <w:tc>
          <w:tcPr>
            <w:tcW w:type="dxa" w:w="2880"/>
          </w:tcPr>
          <w:p>
            <w:r/>
            <w:r>
              <w:rPr>
                <w:b/>
                <w:color w:val="1F3864"/>
                <w:sz w:val="22"/>
              </w:rPr>
              <w:t>Module</w:t>
            </w:r>
          </w:p>
        </w:tc>
        <w:tc>
          <w:tcPr>
            <w:tcW w:type="dxa" w:w="5040"/>
          </w:tcPr>
          <w:p>
            <w:r/>
            <w:r>
              <w:rPr>
                <w:sz w:val="22"/>
              </w:rPr>
              <w:t>Early Warning System &amp; API Integration</w:t>
            </w:r>
          </w:p>
        </w:tc>
      </w:tr>
      <w:tr>
        <w:tc>
          <w:tcPr>
            <w:tcW w:type="dxa" w:w="2880"/>
          </w:tcPr>
          <w:p>
            <w:r/>
            <w:r>
              <w:rPr>
                <w:b/>
                <w:color w:val="1F3864"/>
                <w:sz w:val="22"/>
              </w:rPr>
              <w:t>Date</w:t>
            </w:r>
          </w:p>
        </w:tc>
        <w:tc>
          <w:tcPr>
            <w:tcW w:type="dxa" w:w="5040"/>
          </w:tcPr>
          <w:p>
            <w:r/>
            <w:r>
              <w:rPr>
                <w:sz w:val="22"/>
              </w:rPr>
              <w:t>June 2026</w:t>
            </w:r>
          </w:p>
        </w:tc>
      </w:tr>
    </w:tbl>
    <w:p>
      <w:r>
        <w:br w:type="page"/>
      </w:r>
    </w:p>
    <w:p>
      <w:pPr>
        <w:spacing w:before="280" w:after="120"/>
      </w:pPr>
      <w:r>
        <w:rPr>
          <w:b/>
          <w:color w:val="1F3864"/>
          <w:sz w:val="32"/>
        </w:rPr>
        <w:t>1. Introduction</w:t>
      </w:r>
    </w:p>
    <w:p>
      <w:pPr>
        <w:spacing w:after="120"/>
      </w:pPr>
      <w:r>
        <w:rPr>
          <w:b w:val="0"/>
          <w:i w:val="0"/>
          <w:sz w:val="22"/>
        </w:rPr>
        <w:t>This document explains the module I built during my internship and how to use it. My task was to create the Early Warning System and the prediction API for the institute's Student ERP, and to make sure other developers (especially the frontend team) can connect to it easily.</w:t>
      </w:r>
    </w:p>
    <w:p>
      <w:pPr>
        <w:spacing w:after="120"/>
      </w:pPr>
      <w:r>
        <w:rPr>
          <w:b w:val="0"/>
          <w:i w:val="0"/>
          <w:sz w:val="22"/>
        </w:rPr>
        <w:t>In simple terms, the system looks at a student's data — attendance, grades, assignments, fee history and engagement — and answers practical questions like: Is this student likely to fail? Might they drop out? Will their fee be paid late? It then raises alerts so the staff can act early, before a small problem becomes a big one.</w:t>
      </w:r>
    </w:p>
    <w:p>
      <w:pPr>
        <w:spacing w:after="120"/>
      </w:pPr>
      <w:r>
        <w:rPr>
          <w:b w:val="0"/>
          <w:i w:val="0"/>
          <w:sz w:val="22"/>
        </w:rPr>
        <w:t>The whole module is built as a web API using FastAPI, it is fully tested, documented, and already deployed live on the internet so it can be demonstrated from any computer.</w:t>
      </w:r>
    </w:p>
    <w:p>
      <w:pPr>
        <w:spacing w:before="280" w:after="120"/>
      </w:pPr>
      <w:r>
        <w:rPr>
          <w:b/>
          <w:color w:val="1F3864"/>
          <w:sz w:val="32"/>
        </w:rPr>
        <w:t>2. What was delivered</w:t>
      </w:r>
    </w:p>
    <w:p>
      <w:pPr>
        <w:spacing w:after="120"/>
      </w:pPr>
      <w:r>
        <w:rPr>
          <w:b w:val="0"/>
          <w:i w:val="0"/>
          <w:sz w:val="22"/>
        </w:rPr>
        <w:t>All the deliverables that were asked for in the task are complete:</w:t>
      </w:r>
    </w:p>
    <w:p>
      <w:pPr>
        <w:pStyle w:val="ListBullet"/>
      </w:pPr>
      <w:r>
        <w:rPr>
          <w:b/>
        </w:rPr>
        <w:t>FastAPI backend</w:t>
      </w:r>
      <w:r>
        <w:t xml:space="preserve"> — six prediction endpoints plus an alerts endpoint, all working and tested.</w:t>
      </w:r>
    </w:p>
    <w:p>
      <w:pPr>
        <w:pStyle w:val="ListBullet"/>
      </w:pPr>
      <w:r>
        <w:rPr>
          <w:b/>
        </w:rPr>
        <w:t>Alerts engine</w:t>
      </w:r>
      <w:r>
        <w:t xml:space="preserve"> — an Early Warning System that turns prediction scores into clear, actionable alerts (fail risk, low attendance, dropout risk, fee risk).</w:t>
      </w:r>
    </w:p>
    <w:p>
      <w:pPr>
        <w:pStyle w:val="ListBullet"/>
      </w:pPr>
      <w:r>
        <w:rPr>
          <w:b/>
        </w:rPr>
        <w:t>ERP integration</w:t>
      </w:r>
      <w:r>
        <w:t xml:space="preserve"> — a clean integration layer that talks to the ERP. It runs on safe mock data today and can switch to the real ERP by changing one setting.</w:t>
      </w:r>
    </w:p>
    <w:p>
      <w:pPr>
        <w:pStyle w:val="ListBullet"/>
      </w:pPr>
      <w:r>
        <w:rPr>
          <w:b/>
        </w:rPr>
        <w:t>API documentation</w:t>
      </w:r>
      <w:r>
        <w:t xml:space="preserve"> — interactive Swagger docs, a written API reference, and this handover document.</w:t>
      </w:r>
    </w:p>
    <w:p>
      <w:pPr>
        <w:pStyle w:val="ListBullet"/>
      </w:pPr>
      <w:r>
        <w:rPr>
          <w:b/>
        </w:rPr>
        <w:t>Live deployment (bonus)</w:t>
      </w:r>
      <w:r>
        <w:t xml:space="preserve"> — the API is live on Hugging Face and the code is on GitHub.</w:t>
      </w:r>
    </w:p>
    <w:p>
      <w:pPr>
        <w:spacing w:before="280" w:after="120"/>
      </w:pPr>
      <w:r>
        <w:rPr>
          <w:b/>
          <w:color w:val="1F3864"/>
          <w:sz w:val="32"/>
        </w:rPr>
        <w:t>3. How the project is organised</w:t>
      </w:r>
    </w:p>
    <w:p>
      <w:pPr>
        <w:spacing w:after="120"/>
      </w:pPr>
      <w:r>
        <w:rPr>
          <w:b w:val="0"/>
          <w:i w:val="0"/>
          <w:sz w:val="22"/>
        </w:rPr>
        <w:t>I followed a layered architecture so the code stays clean and any developer can find their way around quickly. Each folder has exactly one job, like different stations in a kitchen:</w:t>
      </w:r>
    </w:p>
    <w:tbl>
      <w:tblPr>
        <w:tblStyle w:val="TableGrid"/>
        <w:tblW w:type="auto" w:w="0"/>
        <w:jc w:val="center"/>
        <w:tblLook w:firstColumn="1" w:firstRow="1" w:lastColumn="0" w:lastRow="0" w:noHBand="0" w:noVBand="1" w:val="04A0"/>
      </w:tblPr>
      <w:tblGrid>
        <w:gridCol w:w="4320"/>
        <w:gridCol w:w="4320"/>
      </w:tblGrid>
      <w:tr>
        <w:tc>
          <w:tcPr>
            <w:tcW w:type="dxa" w:w="2736"/>
            <w:shd w:val="clear" w:color="auto" w:fill="2E75B6"/>
          </w:tcPr>
          <w:p>
            <w:r/>
            <w:r>
              <w:rPr>
                <w:b/>
                <w:color w:val="FFFFFF"/>
                <w:sz w:val="20"/>
              </w:rPr>
              <w:t>Folder</w:t>
            </w:r>
          </w:p>
        </w:tc>
        <w:tc>
          <w:tcPr>
            <w:tcW w:type="dxa" w:w="10224"/>
            <w:shd w:val="clear" w:color="auto" w:fill="2E75B6"/>
          </w:tcPr>
          <w:p>
            <w:r/>
            <w:r>
              <w:rPr>
                <w:b/>
                <w:color w:val="FFFFFF"/>
                <w:sz w:val="20"/>
              </w:rPr>
              <w:t>Responsibility</w:t>
            </w:r>
          </w:p>
        </w:tc>
      </w:tr>
      <w:tr>
        <w:tc>
          <w:tcPr>
            <w:tcW w:type="dxa" w:w="2736"/>
          </w:tcPr>
          <w:p>
            <w:r/>
            <w:r>
              <w:rPr>
                <w:sz w:val="19"/>
              </w:rPr>
              <w:t>app/api/routes/</w:t>
            </w:r>
          </w:p>
        </w:tc>
        <w:tc>
          <w:tcPr>
            <w:tcW w:type="dxa" w:w="10224"/>
          </w:tcPr>
          <w:p>
            <w:r/>
            <w:r>
              <w:rPr>
                <w:sz w:val="19"/>
              </w:rPr>
              <w:t>The endpoints — receive requests and return responses (the 'waiter').</w:t>
            </w:r>
          </w:p>
        </w:tc>
      </w:tr>
      <w:tr>
        <w:tc>
          <w:tcPr>
            <w:tcW w:type="dxa" w:w="2736"/>
            <w:shd w:val="clear" w:color="auto" w:fill="EEF3FA"/>
          </w:tcPr>
          <w:p>
            <w:r/>
            <w:r>
              <w:rPr>
                <w:sz w:val="19"/>
              </w:rPr>
              <w:t>app/schemas/</w:t>
            </w:r>
          </w:p>
        </w:tc>
        <w:tc>
          <w:tcPr>
            <w:tcW w:type="dxa" w:w="10224"/>
            <w:shd w:val="clear" w:color="auto" w:fill="EEF3FA"/>
          </w:tcPr>
          <w:p>
            <w:r/>
            <w:r>
              <w:rPr>
                <w:sz w:val="19"/>
              </w:rPr>
              <w:t>The shape of the data in and out, with automatic validation (the 'menu').</w:t>
            </w:r>
          </w:p>
        </w:tc>
      </w:tr>
      <w:tr>
        <w:tc>
          <w:tcPr>
            <w:tcW w:type="dxa" w:w="2736"/>
          </w:tcPr>
          <w:p>
            <w:r/>
            <w:r>
              <w:rPr>
                <w:sz w:val="19"/>
              </w:rPr>
              <w:t>app/services/</w:t>
            </w:r>
          </w:p>
        </w:tc>
        <w:tc>
          <w:tcPr>
            <w:tcW w:type="dxa" w:w="10224"/>
          </w:tcPr>
          <w:p>
            <w:r/>
            <w:r>
              <w:rPr>
                <w:sz w:val="19"/>
              </w:rPr>
              <w:t>The business logic — prediction and alert rules (the 'chef').</w:t>
            </w:r>
          </w:p>
        </w:tc>
      </w:tr>
      <w:tr>
        <w:tc>
          <w:tcPr>
            <w:tcW w:type="dxa" w:w="2736"/>
            <w:shd w:val="clear" w:color="auto" w:fill="EEF3FA"/>
          </w:tcPr>
          <w:p>
            <w:r/>
            <w:r>
              <w:rPr>
                <w:sz w:val="19"/>
              </w:rPr>
              <w:t>app/models/</w:t>
            </w:r>
          </w:p>
        </w:tc>
        <w:tc>
          <w:tcPr>
            <w:tcW w:type="dxa" w:w="10224"/>
            <w:shd w:val="clear" w:color="auto" w:fill="EEF3FA"/>
          </w:tcPr>
          <w:p>
            <w:r/>
            <w:r>
              <w:rPr>
                <w:sz w:val="19"/>
              </w:rPr>
              <w:t>The ML model placeholder — swap in a real model here later (the 'recipe').</w:t>
            </w:r>
          </w:p>
        </w:tc>
      </w:tr>
      <w:tr>
        <w:tc>
          <w:tcPr>
            <w:tcW w:type="dxa" w:w="2736"/>
          </w:tcPr>
          <w:p>
            <w:r/>
            <w:r>
              <w:rPr>
                <w:sz w:val="19"/>
              </w:rPr>
              <w:t>app/integrations/</w:t>
            </w:r>
          </w:p>
        </w:tc>
        <w:tc>
          <w:tcPr>
            <w:tcW w:type="dxa" w:w="10224"/>
          </w:tcPr>
          <w:p>
            <w:r/>
            <w:r>
              <w:rPr>
                <w:sz w:val="19"/>
              </w:rPr>
              <w:t>Talks to the ERP system, mock or real (the 'supplier').</w:t>
            </w:r>
          </w:p>
        </w:tc>
      </w:tr>
      <w:tr>
        <w:tc>
          <w:tcPr>
            <w:tcW w:type="dxa" w:w="2736"/>
            <w:shd w:val="clear" w:color="auto" w:fill="EEF3FA"/>
          </w:tcPr>
          <w:p>
            <w:r/>
            <w:r>
              <w:rPr>
                <w:sz w:val="19"/>
              </w:rPr>
              <w:t>app/config.py</w:t>
            </w:r>
          </w:p>
        </w:tc>
        <w:tc>
          <w:tcPr>
            <w:tcW w:type="dxa" w:w="10224"/>
            <w:shd w:val="clear" w:color="auto" w:fill="EEF3FA"/>
          </w:tcPr>
          <w:p>
            <w:r/>
            <w:r>
              <w:rPr>
                <w:sz w:val="19"/>
              </w:rPr>
              <w:t>Central settings, read from environment variables.</w:t>
            </w:r>
          </w:p>
        </w:tc>
      </w:tr>
      <w:tr>
        <w:tc>
          <w:tcPr>
            <w:tcW w:type="dxa" w:w="2736"/>
          </w:tcPr>
          <w:p>
            <w:r/>
            <w:r>
              <w:rPr>
                <w:sz w:val="19"/>
              </w:rPr>
              <w:t>tests/</w:t>
            </w:r>
          </w:p>
        </w:tc>
        <w:tc>
          <w:tcPr>
            <w:tcW w:type="dxa" w:w="10224"/>
          </w:tcPr>
          <w:p>
            <w:r/>
            <w:r>
              <w:rPr>
                <w:sz w:val="19"/>
              </w:rPr>
              <w:t>Automated tests that confirm every endpoint works.</w:t>
            </w:r>
          </w:p>
        </w:tc>
      </w:tr>
    </w:tbl>
    <w:p>
      <w:pPr>
        <w:spacing w:after="80"/>
      </w:pPr>
      <w:r>
        <w:rPr>
          <w:b w:val="0"/>
          <w:i/>
          <w:color w:val="555555"/>
          <w:sz w:val="22"/>
        </w:rPr>
        <w:t>The benefit of this design: to plug in a real machine-learning model, only app/models/predictor.py changes. To connect the real ERP, only app/integrations/erp_client.py changes. Nothing else has to be touched.</w:t>
      </w:r>
    </w:p>
    <w:p>
      <w:r>
        <w:br w:type="page"/>
      </w:r>
    </w:p>
    <w:p>
      <w:pPr>
        <w:spacing w:before="280" w:after="120"/>
      </w:pPr>
      <w:r>
        <w:rPr>
          <w:b/>
          <w:color w:val="1F3864"/>
          <w:sz w:val="32"/>
        </w:rPr>
        <w:t>4. API endpoints (routes)</w:t>
      </w:r>
    </w:p>
    <w:p>
      <w:pPr>
        <w:spacing w:after="120"/>
      </w:pPr>
      <w:r>
        <w:rPr>
          <w:b w:val="0"/>
          <w:i w:val="0"/>
          <w:sz w:val="22"/>
        </w:rPr>
        <w:t>The API exposes the following routes. The base URL of the live deployment is:</w:t>
      </w:r>
    </w:p>
    <w:p>
      <w:pPr>
        <w:spacing w:after="120"/>
      </w:pPr>
      <w:r>
        <w:rPr>
          <w:b/>
          <w:i w:val="0"/>
          <w:color w:val="2E75B6"/>
          <w:sz w:val="22"/>
        </w:rPr>
        <w:t>https://muhammadabdullah31808-early-warning-api.hf.space</w:t>
      </w:r>
    </w:p>
    <w:tbl>
      <w:tblPr>
        <w:tblStyle w:val="TableGrid"/>
        <w:tblW w:type="auto" w:w="0"/>
        <w:jc w:val="center"/>
        <w:tblLook w:firstColumn="1" w:firstRow="1" w:lastColumn="0" w:lastRow="0" w:noHBand="0" w:noVBand="1" w:val="04A0"/>
      </w:tblPr>
      <w:tblGrid>
        <w:gridCol w:w="2880"/>
        <w:gridCol w:w="2880"/>
        <w:gridCol w:w="2880"/>
      </w:tblGrid>
      <w:tr>
        <w:tc>
          <w:tcPr>
            <w:tcW w:type="dxa" w:w="1440"/>
            <w:shd w:val="clear" w:color="auto" w:fill="2E75B6"/>
          </w:tcPr>
          <w:p>
            <w:r/>
            <w:r>
              <w:rPr>
                <w:b/>
                <w:color w:val="FFFFFF"/>
                <w:sz w:val="20"/>
              </w:rPr>
              <w:t>Method</w:t>
            </w:r>
          </w:p>
        </w:tc>
        <w:tc>
          <w:tcPr>
            <w:tcW w:type="dxa" w:w="4752"/>
            <w:shd w:val="clear" w:color="auto" w:fill="2E75B6"/>
          </w:tcPr>
          <w:p>
            <w:r/>
            <w:r>
              <w:rPr>
                <w:b/>
                <w:color w:val="FFFFFF"/>
                <w:sz w:val="20"/>
              </w:rPr>
              <w:t>Route</w:t>
            </w:r>
          </w:p>
        </w:tc>
        <w:tc>
          <w:tcPr>
            <w:tcW w:type="dxa" w:w="6768"/>
            <w:shd w:val="clear" w:color="auto" w:fill="2E75B6"/>
          </w:tcPr>
          <w:p>
            <w:r/>
            <w:r>
              <w:rPr>
                <w:b/>
                <w:color w:val="FFFFFF"/>
                <w:sz w:val="20"/>
              </w:rPr>
              <w:t>What it does</w:t>
            </w:r>
          </w:p>
        </w:tc>
      </w:tr>
      <w:tr>
        <w:tc>
          <w:tcPr>
            <w:tcW w:type="dxa" w:w="1440"/>
          </w:tcPr>
          <w:p>
            <w:r/>
            <w:r>
              <w:rPr>
                <w:sz w:val="19"/>
              </w:rPr>
              <w:t>GET</w:t>
            </w:r>
          </w:p>
        </w:tc>
        <w:tc>
          <w:tcPr>
            <w:tcW w:type="dxa" w:w="4752"/>
          </w:tcPr>
          <w:p>
            <w:r/>
            <w:r>
              <w:rPr>
                <w:sz w:val="19"/>
              </w:rPr>
              <w:t>/health</w:t>
            </w:r>
          </w:p>
        </w:tc>
        <w:tc>
          <w:tcPr>
            <w:tcW w:type="dxa" w:w="6768"/>
          </w:tcPr>
          <w:p>
            <w:r/>
            <w:r>
              <w:rPr>
                <w:sz w:val="19"/>
              </w:rPr>
              <w:t>Quick check that the server is running.</w:t>
            </w:r>
          </w:p>
        </w:tc>
      </w:tr>
      <w:tr>
        <w:tc>
          <w:tcPr>
            <w:tcW w:type="dxa" w:w="1440"/>
            <w:shd w:val="clear" w:color="auto" w:fill="EEF3FA"/>
          </w:tcPr>
          <w:p>
            <w:r/>
            <w:r>
              <w:rPr>
                <w:sz w:val="19"/>
              </w:rPr>
              <w:t>POST</w:t>
            </w:r>
          </w:p>
        </w:tc>
        <w:tc>
          <w:tcPr>
            <w:tcW w:type="dxa" w:w="4752"/>
            <w:shd w:val="clear" w:color="auto" w:fill="EEF3FA"/>
          </w:tcPr>
          <w:p>
            <w:r/>
            <w:r>
              <w:rPr>
                <w:sz w:val="19"/>
              </w:rPr>
              <w:t>/prediction/student-risk</w:t>
            </w:r>
          </w:p>
        </w:tc>
        <w:tc>
          <w:tcPr>
            <w:tcW w:type="dxa" w:w="6768"/>
            <w:shd w:val="clear" w:color="auto" w:fill="EEF3FA"/>
          </w:tcPr>
          <w:p>
            <w:r/>
            <w:r>
              <w:rPr>
                <w:sz w:val="19"/>
              </w:rPr>
              <w:t>Overall academic risk and whether the student may fail.</w:t>
            </w:r>
          </w:p>
        </w:tc>
      </w:tr>
      <w:tr>
        <w:tc>
          <w:tcPr>
            <w:tcW w:type="dxa" w:w="1440"/>
          </w:tcPr>
          <w:p>
            <w:r/>
            <w:r>
              <w:rPr>
                <w:sz w:val="19"/>
              </w:rPr>
              <w:t>POST</w:t>
            </w:r>
          </w:p>
        </w:tc>
        <w:tc>
          <w:tcPr>
            <w:tcW w:type="dxa" w:w="4752"/>
          </w:tcPr>
          <w:p>
            <w:r/>
            <w:r>
              <w:rPr>
                <w:sz w:val="19"/>
              </w:rPr>
              <w:t>/prediction/dropout</w:t>
            </w:r>
          </w:p>
        </w:tc>
        <w:tc>
          <w:tcPr>
            <w:tcW w:type="dxa" w:w="6768"/>
          </w:tcPr>
          <w:p>
            <w:r/>
            <w:r>
              <w:rPr>
                <w:sz w:val="19"/>
              </w:rPr>
              <w:t>Probability that the student will drop out.</w:t>
            </w:r>
          </w:p>
        </w:tc>
      </w:tr>
      <w:tr>
        <w:tc>
          <w:tcPr>
            <w:tcW w:type="dxa" w:w="1440"/>
            <w:shd w:val="clear" w:color="auto" w:fill="EEF3FA"/>
          </w:tcPr>
          <w:p>
            <w:r/>
            <w:r>
              <w:rPr>
                <w:sz w:val="19"/>
              </w:rPr>
              <w:t>POST</w:t>
            </w:r>
          </w:p>
        </w:tc>
        <w:tc>
          <w:tcPr>
            <w:tcW w:type="dxa" w:w="4752"/>
            <w:shd w:val="clear" w:color="auto" w:fill="EEF3FA"/>
          </w:tcPr>
          <w:p>
            <w:r/>
            <w:r>
              <w:rPr>
                <w:sz w:val="19"/>
              </w:rPr>
              <w:t>/prediction/gpa</w:t>
            </w:r>
          </w:p>
        </w:tc>
        <w:tc>
          <w:tcPr>
            <w:tcW w:type="dxa" w:w="6768"/>
            <w:shd w:val="clear" w:color="auto" w:fill="EEF3FA"/>
          </w:tcPr>
          <w:p>
            <w:r/>
            <w:r>
              <w:rPr>
                <w:sz w:val="19"/>
              </w:rPr>
              <w:t>Predicted GPA for the next term.</w:t>
            </w:r>
          </w:p>
        </w:tc>
      </w:tr>
      <w:tr>
        <w:tc>
          <w:tcPr>
            <w:tcW w:type="dxa" w:w="1440"/>
          </w:tcPr>
          <w:p>
            <w:r/>
            <w:r>
              <w:rPr>
                <w:sz w:val="19"/>
              </w:rPr>
              <w:t>POST</w:t>
            </w:r>
          </w:p>
        </w:tc>
        <w:tc>
          <w:tcPr>
            <w:tcW w:type="dxa" w:w="4752"/>
          </w:tcPr>
          <w:p>
            <w:r/>
            <w:r>
              <w:rPr>
                <w:sz w:val="19"/>
              </w:rPr>
              <w:t>/prediction/fee-default</w:t>
            </w:r>
          </w:p>
        </w:tc>
        <w:tc>
          <w:tcPr>
            <w:tcW w:type="dxa" w:w="6768"/>
          </w:tcPr>
          <w:p>
            <w:r/>
            <w:r>
              <w:rPr>
                <w:sz w:val="19"/>
              </w:rPr>
              <w:t>Probability the fee will be defaulted / paid late.</w:t>
            </w:r>
          </w:p>
        </w:tc>
      </w:tr>
      <w:tr>
        <w:tc>
          <w:tcPr>
            <w:tcW w:type="dxa" w:w="1440"/>
            <w:shd w:val="clear" w:color="auto" w:fill="EEF3FA"/>
          </w:tcPr>
          <w:p>
            <w:r/>
            <w:r>
              <w:rPr>
                <w:sz w:val="19"/>
              </w:rPr>
              <w:t>POST</w:t>
            </w:r>
          </w:p>
        </w:tc>
        <w:tc>
          <w:tcPr>
            <w:tcW w:type="dxa" w:w="4752"/>
            <w:shd w:val="clear" w:color="auto" w:fill="EEF3FA"/>
          </w:tcPr>
          <w:p>
            <w:r/>
            <w:r>
              <w:rPr>
                <w:sz w:val="19"/>
              </w:rPr>
              <w:t>/prediction/admissions</w:t>
            </w:r>
          </w:p>
        </w:tc>
        <w:tc>
          <w:tcPr>
            <w:tcW w:type="dxa" w:w="6768"/>
            <w:shd w:val="clear" w:color="auto" w:fill="EEF3FA"/>
          </w:tcPr>
          <w:p>
            <w:r/>
            <w:r>
              <w:rPr>
                <w:sz w:val="19"/>
              </w:rPr>
              <w:t>Admission probability and a decision for an applicant.</w:t>
            </w:r>
          </w:p>
        </w:tc>
      </w:tr>
      <w:tr>
        <w:tc>
          <w:tcPr>
            <w:tcW w:type="dxa" w:w="1440"/>
          </w:tcPr>
          <w:p>
            <w:r/>
            <w:r>
              <w:rPr>
                <w:sz w:val="19"/>
              </w:rPr>
              <w:t>POST</w:t>
            </w:r>
          </w:p>
        </w:tc>
        <w:tc>
          <w:tcPr>
            <w:tcW w:type="dxa" w:w="4752"/>
          </w:tcPr>
          <w:p>
            <w:r/>
            <w:r>
              <w:rPr>
                <w:sz w:val="19"/>
              </w:rPr>
              <w:t>/prediction/recommendations</w:t>
            </w:r>
          </w:p>
        </w:tc>
        <w:tc>
          <w:tcPr>
            <w:tcW w:type="dxa" w:w="6768"/>
          </w:tcPr>
          <w:p>
            <w:r/>
            <w:r>
              <w:rPr>
                <w:sz w:val="19"/>
              </w:rPr>
              <w:t>Personalised suggestions to help the student improve.</w:t>
            </w:r>
          </w:p>
        </w:tc>
      </w:tr>
      <w:tr>
        <w:tc>
          <w:tcPr>
            <w:tcW w:type="dxa" w:w="1440"/>
            <w:shd w:val="clear" w:color="auto" w:fill="EEF3FA"/>
          </w:tcPr>
          <w:p>
            <w:r/>
            <w:r>
              <w:rPr>
                <w:sz w:val="19"/>
              </w:rPr>
              <w:t>GET</w:t>
            </w:r>
          </w:p>
        </w:tc>
        <w:tc>
          <w:tcPr>
            <w:tcW w:type="dxa" w:w="4752"/>
            <w:shd w:val="clear" w:color="auto" w:fill="EEF3FA"/>
          </w:tcPr>
          <w:p>
            <w:r/>
            <w:r>
              <w:rPr>
                <w:sz w:val="19"/>
              </w:rPr>
              <w:t>/alerts/student/{id}</w:t>
            </w:r>
          </w:p>
        </w:tc>
        <w:tc>
          <w:tcPr>
            <w:tcW w:type="dxa" w:w="6768"/>
            <w:shd w:val="clear" w:color="auto" w:fill="EEF3FA"/>
          </w:tcPr>
          <w:p>
            <w:r/>
            <w:r>
              <w:rPr>
                <w:sz w:val="19"/>
              </w:rPr>
              <w:t>All early-warning alerts for a student (reads the ERP).</w:t>
            </w:r>
          </w:p>
        </w:tc>
      </w:tr>
    </w:tbl>
    <w:p>
      <w:pPr>
        <w:spacing w:before="200" w:after="80"/>
      </w:pPr>
      <w:r>
        <w:rPr>
          <w:b/>
          <w:color w:val="2E75B6"/>
          <w:sz w:val="26"/>
        </w:rPr>
        <w:t>Example request and response</w:t>
      </w:r>
    </w:p>
    <w:p>
      <w:pPr>
        <w:spacing w:after="40"/>
      </w:pPr>
      <w:r>
        <w:rPr>
          <w:b/>
          <w:i w:val="0"/>
          <w:sz w:val="22"/>
        </w:rPr>
        <w:t>Request — POST /prediction/student-risk</w:t>
      </w:r>
    </w:p>
    <w:p>
      <w:r>
        <w:rPr>
          <w:rFonts w:ascii="Consolas" w:hAnsi="Consolas"/>
          <w:sz w:val="19"/>
        </w:rPr>
        <w:t>{</w:t>
        <w:br/>
        <w:t xml:space="preserve">  "student_id": "STU-1001",</w:t>
        <w:br/>
        <w:t xml:space="preserve">  "attendance_percentage": 45,</w:t>
        <w:br/>
        <w:t xml:space="preserve">  "current_gpa": 1.6,</w:t>
        <w:br/>
        <w:t xml:space="preserve">  "assignments_submitted": 2,</w:t>
        <w:br/>
        <w:t xml:space="preserve">  "assignments_total": 10,</w:t>
        <w:br/>
        <w:t xml:space="preserve">  "backlogs": 3</w:t>
        <w:br/>
        <w:t>}</w:t>
      </w:r>
    </w:p>
    <w:p>
      <w:pPr>
        <w:spacing w:after="40"/>
      </w:pPr>
      <w:r>
        <w:rPr>
          <w:b/>
          <w:i w:val="0"/>
          <w:sz w:val="22"/>
        </w:rPr>
        <w:t>Response (actual output from the live server)</w:t>
      </w:r>
    </w:p>
    <w:p>
      <w:r>
        <w:rPr>
          <w:rFonts w:ascii="Consolas" w:hAnsi="Consolas"/>
          <w:sz w:val="19"/>
        </w:rPr>
        <w:t>{</w:t>
        <w:br/>
        <w:t xml:space="preserve">  "student_id": "STU-1001",</w:t>
        <w:br/>
        <w:t xml:space="preserve">  "risk_score": 0.623,</w:t>
        <w:br/>
        <w:t xml:space="preserve">  "risk_level": "high",</w:t>
        <w:br/>
        <w:t xml:space="preserve">  "may_fail": true,</w:t>
        <w:br/>
        <w:t xml:space="preserve">  "alerts": [</w:t>
        <w:br/>
        <w:t xml:space="preserve">    { "type": "may_fail", "severity": "high",</w:t>
        <w:br/>
        <w:t xml:space="preserve">      "message": "High academic risk (score 0.62). Student may fail." },</w:t>
        <w:br/>
        <w:t xml:space="preserve">    { "type": "low_attendance", "severity": "high",</w:t>
        <w:br/>
        <w:t xml:space="preserve">      "message": "Attendance is 45%, below the required 75%." }</w:t>
        <w:br/>
        <w:t xml:space="preserve">  ]</w:t>
        <w:br/>
        <w:t>}</w:t>
      </w:r>
    </w:p>
    <w:p>
      <w:r>
        <w:br w:type="page"/>
      </w:r>
    </w:p>
    <w:p>
      <w:pPr>
        <w:spacing w:before="280" w:after="120"/>
      </w:pPr>
      <w:r>
        <w:rPr>
          <w:b/>
          <w:color w:val="1F3864"/>
          <w:sz w:val="32"/>
        </w:rPr>
        <w:t>5. The Early Warning System</w:t>
      </w:r>
    </w:p>
    <w:p>
      <w:pPr>
        <w:spacing w:after="120"/>
      </w:pPr>
      <w:r>
        <w:rPr>
          <w:b w:val="0"/>
          <w:i w:val="0"/>
          <w:sz w:val="22"/>
        </w:rPr>
        <w:t>This is the heart of the module. After a prediction is calculated, the alert engine checks the result against sensible thresholds and produces alerts. Each alert has a type, a severity (low / medium / high), a human-readable message, and a score. The four alert types are:</w:t>
      </w:r>
    </w:p>
    <w:p>
      <w:pPr>
        <w:pStyle w:val="ListBullet"/>
      </w:pPr>
      <w:r>
        <w:rPr>
          <w:b/>
        </w:rPr>
        <w:t>Student may fail</w:t>
      </w:r>
      <w:r>
        <w:t xml:space="preserve"> — raised when the academic risk is high enough that the student may fail.</w:t>
      </w:r>
    </w:p>
    <w:p>
      <w:pPr>
        <w:pStyle w:val="ListBullet"/>
      </w:pPr>
      <w:r>
        <w:rPr>
          <w:b/>
        </w:rPr>
        <w:t>Low attendance</w:t>
      </w:r>
      <w:r>
        <w:t xml:space="preserve"> — raised when attendance falls below the required 75%.</w:t>
      </w:r>
    </w:p>
    <w:p>
      <w:pPr>
        <w:pStyle w:val="ListBullet"/>
      </w:pPr>
      <w:r>
        <w:rPr>
          <w:b/>
        </w:rPr>
        <w:t>Dropout risk</w:t>
      </w:r>
      <w:r>
        <w:t xml:space="preserve"> — raised when the dropout probability is high.</w:t>
      </w:r>
    </w:p>
    <w:p>
      <w:pPr>
        <w:pStyle w:val="ListBullet"/>
      </w:pPr>
      <w:r>
        <w:rPr>
          <w:b/>
        </w:rPr>
        <w:t>Fee payment risk</w:t>
      </w:r>
      <w:r>
        <w:t xml:space="preserve"> — raised when the student is likely to pay the fee late or default.</w:t>
      </w:r>
    </w:p>
    <w:p>
      <w:pPr>
        <w:spacing w:after="120"/>
      </w:pPr>
      <w:r>
        <w:rPr>
          <w:b w:val="0"/>
          <w:i w:val="0"/>
          <w:sz w:val="22"/>
        </w:rPr>
        <w:t>The GET /alerts/student/{id} endpoint shows the full Early Warning flow: it fetches the student's record from the ERP, runs the checks, and returns every alert that applies. In a real setup these alerts are also pushed back into the ERP so staff can see them on their dashboard.</w:t>
      </w:r>
    </w:p>
    <w:p>
      <w:pPr>
        <w:spacing w:before="280" w:after="120"/>
      </w:pPr>
      <w:r>
        <w:rPr>
          <w:b/>
          <w:color w:val="1F3864"/>
          <w:sz w:val="32"/>
        </w:rPr>
        <w:t>6. ERP integration</w:t>
      </w:r>
    </w:p>
    <w:p>
      <w:pPr>
        <w:spacing w:after="120"/>
      </w:pPr>
      <w:r>
        <w:rPr>
          <w:b w:val="0"/>
          <w:i w:val="0"/>
          <w:sz w:val="22"/>
        </w:rPr>
        <w:t>All communication with the ERP happens in one file: app/integrations/erp_client.py. It has two modes, controlled by a single setting (ERP_MOCK_MODE):</w:t>
      </w:r>
    </w:p>
    <w:p>
      <w:pPr>
        <w:pStyle w:val="ListBullet"/>
      </w:pPr>
      <w:r>
        <w:rPr>
          <w:b/>
        </w:rPr>
        <w:t>Mock mode</w:t>
      </w:r>
      <w:r>
        <w:t xml:space="preserve"> — the default. It returns realistic sample students, so the whole system works without needing the real ERP or the internet. This is what the live demo uses today.</w:t>
      </w:r>
    </w:p>
    <w:p>
      <w:pPr>
        <w:pStyle w:val="ListBullet"/>
      </w:pPr>
      <w:r>
        <w:rPr>
          <w:b/>
        </w:rPr>
        <w:t>Real mode</w:t>
      </w:r>
      <w:r>
        <w:t xml:space="preserve"> — set ERP_MOCK_MODE=false and provide the ERP base URL and API key, and the same code will talk to the real ERP over HTTP. No other change needed.</w:t>
      </w:r>
    </w:p>
    <w:p>
      <w:pPr>
        <w:spacing w:before="280" w:after="120"/>
      </w:pPr>
      <w:r>
        <w:rPr>
          <w:b/>
          <w:color w:val="1F3864"/>
          <w:sz w:val="32"/>
        </w:rPr>
        <w:t>7. Deployment</w:t>
      </w:r>
    </w:p>
    <w:p>
      <w:pPr>
        <w:spacing w:after="120"/>
      </w:pPr>
      <w:r>
        <w:rPr>
          <w:b w:val="0"/>
          <w:i w:val="0"/>
          <w:sz w:val="22"/>
        </w:rPr>
        <w:t>The project is deployed in two places that stay in sync:</w:t>
      </w:r>
    </w:p>
    <w:tbl>
      <w:tblPr>
        <w:tblStyle w:val="TableGrid"/>
        <w:tblW w:type="auto" w:w="0"/>
        <w:jc w:val="center"/>
        <w:tblLook w:firstColumn="1" w:firstRow="1" w:lastColumn="0" w:lastRow="0" w:noHBand="0" w:noVBand="1" w:val="04A0"/>
      </w:tblPr>
      <w:tblGrid>
        <w:gridCol w:w="2880"/>
        <w:gridCol w:w="2880"/>
        <w:gridCol w:w="2880"/>
      </w:tblGrid>
      <w:tr>
        <w:tc>
          <w:tcPr>
            <w:tcW w:type="dxa" w:w="2448"/>
            <w:shd w:val="clear" w:color="auto" w:fill="2E75B6"/>
          </w:tcPr>
          <w:p>
            <w:r/>
            <w:r>
              <w:rPr>
                <w:b/>
                <w:color w:val="FFFFFF"/>
                <w:sz w:val="20"/>
              </w:rPr>
              <w:t>Where</w:t>
            </w:r>
          </w:p>
        </w:tc>
        <w:tc>
          <w:tcPr>
            <w:tcW w:type="dxa" w:w="3600"/>
            <w:shd w:val="clear" w:color="auto" w:fill="2E75B6"/>
          </w:tcPr>
          <w:p>
            <w:r/>
            <w:r>
              <w:rPr>
                <w:b/>
                <w:color w:val="FFFFFF"/>
                <w:sz w:val="20"/>
              </w:rPr>
              <w:t>Purpose</w:t>
            </w:r>
          </w:p>
        </w:tc>
        <w:tc>
          <w:tcPr>
            <w:tcW w:type="dxa" w:w="6912"/>
            <w:shd w:val="clear" w:color="auto" w:fill="2E75B6"/>
          </w:tcPr>
          <w:p>
            <w:r/>
            <w:r>
              <w:rPr>
                <w:b/>
                <w:color w:val="FFFFFF"/>
                <w:sz w:val="20"/>
              </w:rPr>
              <w:t>Link</w:t>
            </w:r>
          </w:p>
        </w:tc>
      </w:tr>
      <w:tr>
        <w:tc>
          <w:tcPr>
            <w:tcW w:type="dxa" w:w="2448"/>
          </w:tcPr>
          <w:p>
            <w:r/>
            <w:r>
              <w:rPr>
                <w:sz w:val="19"/>
              </w:rPr>
              <w:t>GitHub</w:t>
            </w:r>
          </w:p>
        </w:tc>
        <w:tc>
          <w:tcPr>
            <w:tcW w:type="dxa" w:w="3600"/>
          </w:tcPr>
          <w:p>
            <w:r/>
            <w:r>
              <w:rPr>
                <w:sz w:val="19"/>
              </w:rPr>
              <w:t>Source code repository</w:t>
            </w:r>
          </w:p>
        </w:tc>
        <w:tc>
          <w:tcPr>
            <w:tcW w:type="dxa" w:w="6912"/>
          </w:tcPr>
          <w:p>
            <w:r/>
            <w:r>
              <w:rPr>
                <w:sz w:val="19"/>
              </w:rPr>
              <w:t>github.com/muhammadabdullah901/early-warning-api</w:t>
            </w:r>
          </w:p>
        </w:tc>
      </w:tr>
      <w:tr>
        <w:tc>
          <w:tcPr>
            <w:tcW w:type="dxa" w:w="2448"/>
            <w:shd w:val="clear" w:color="auto" w:fill="EEF3FA"/>
          </w:tcPr>
          <w:p>
            <w:r/>
            <w:r>
              <w:rPr>
                <w:sz w:val="19"/>
              </w:rPr>
              <w:t>Hugging Face Space</w:t>
            </w:r>
          </w:p>
        </w:tc>
        <w:tc>
          <w:tcPr>
            <w:tcW w:type="dxa" w:w="3600"/>
            <w:shd w:val="clear" w:color="auto" w:fill="EEF3FA"/>
          </w:tcPr>
          <w:p>
            <w:r/>
            <w:r>
              <w:rPr>
                <w:sz w:val="19"/>
              </w:rPr>
              <w:t>Live running API (Docker)</w:t>
            </w:r>
          </w:p>
        </w:tc>
        <w:tc>
          <w:tcPr>
            <w:tcW w:type="dxa" w:w="6912"/>
            <w:shd w:val="clear" w:color="auto" w:fill="EEF3FA"/>
          </w:tcPr>
          <w:p>
            <w:r/>
            <w:r>
              <w:rPr>
                <w:sz w:val="19"/>
              </w:rPr>
              <w:t>huggingface.co/spaces/muhammadabdullah31808/early-warning-api</w:t>
            </w:r>
          </w:p>
        </w:tc>
      </w:tr>
      <w:tr>
        <w:tc>
          <w:tcPr>
            <w:tcW w:type="dxa" w:w="2448"/>
          </w:tcPr>
          <w:p>
            <w:r/>
            <w:r>
              <w:rPr>
                <w:sz w:val="19"/>
              </w:rPr>
              <w:t>Live API</w:t>
            </w:r>
          </w:p>
        </w:tc>
        <w:tc>
          <w:tcPr>
            <w:tcW w:type="dxa" w:w="3600"/>
          </w:tcPr>
          <w:p>
            <w:r/>
            <w:r>
              <w:rPr>
                <w:sz w:val="19"/>
              </w:rPr>
              <w:t>Public base URL</w:t>
            </w:r>
          </w:p>
        </w:tc>
        <w:tc>
          <w:tcPr>
            <w:tcW w:type="dxa" w:w="6912"/>
          </w:tcPr>
          <w:p>
            <w:r/>
            <w:r>
              <w:rPr>
                <w:sz w:val="19"/>
              </w:rPr>
              <w:t>muhammadabdullah31808-early-warning-api.hf.space</w:t>
            </w:r>
          </w:p>
        </w:tc>
      </w:tr>
      <w:tr>
        <w:tc>
          <w:tcPr>
            <w:tcW w:type="dxa" w:w="2448"/>
            <w:shd w:val="clear" w:color="auto" w:fill="EEF3FA"/>
          </w:tcPr>
          <w:p>
            <w:r/>
            <w:r>
              <w:rPr>
                <w:sz w:val="19"/>
              </w:rPr>
              <w:t>Live docs</w:t>
            </w:r>
          </w:p>
        </w:tc>
        <w:tc>
          <w:tcPr>
            <w:tcW w:type="dxa" w:w="3600"/>
            <w:shd w:val="clear" w:color="auto" w:fill="EEF3FA"/>
          </w:tcPr>
          <w:p>
            <w:r/>
            <w:r>
              <w:rPr>
                <w:sz w:val="19"/>
              </w:rPr>
              <w:t>Interactive Swagger UI</w:t>
            </w:r>
          </w:p>
        </w:tc>
        <w:tc>
          <w:tcPr>
            <w:tcW w:type="dxa" w:w="6912"/>
            <w:shd w:val="clear" w:color="auto" w:fill="EEF3FA"/>
          </w:tcPr>
          <w:p>
            <w:r/>
            <w:r>
              <w:rPr>
                <w:sz w:val="19"/>
              </w:rPr>
              <w:t>.../docs</w:t>
            </w:r>
          </w:p>
        </w:tc>
      </w:tr>
    </w:tbl>
    <w:p>
      <w:pPr>
        <w:spacing w:after="120"/>
      </w:pPr>
      <w:r>
        <w:rPr>
          <w:b w:val="0"/>
          <w:i w:val="0"/>
          <w:sz w:val="22"/>
        </w:rPr>
        <w:t>I originally set up the project for Render, but Render now asks for a credit card even on its free plan. To keep everything free and card-free, I deployed to Hugging Face Spaces using a small Dockerfile. Every time new code is pushed, Hugging Face rebuilds and redeploys the API automatically.</w:t>
      </w:r>
    </w:p>
    <w:p>
      <w:pPr>
        <w:spacing w:after="120"/>
      </w:pPr>
      <w:r>
        <w:rPr>
          <w:b w:val="0"/>
          <w:i/>
          <w:color w:val="555555"/>
          <w:sz w:val="22"/>
        </w:rPr>
        <w:t>Note: on the free plan the Space sleeps after a long period of no traffic; the next visit wakes it up in about half a minute. This is normal for free hosting and does not affect the code.</w:t>
      </w:r>
    </w:p>
    <w:p>
      <w:r>
        <w:br w:type="page"/>
      </w:r>
    </w:p>
    <w:p>
      <w:pPr>
        <w:spacing w:before="280" w:after="120"/>
      </w:pPr>
      <w:r>
        <w:rPr>
          <w:b/>
          <w:color w:val="1F3864"/>
          <w:sz w:val="32"/>
        </w:rPr>
        <w:t>8. How to run it locally</w:t>
      </w:r>
    </w:p>
    <w:p>
      <w:pPr>
        <w:spacing w:after="120"/>
      </w:pPr>
      <w:r>
        <w:rPr>
          <w:b w:val="0"/>
          <w:i w:val="0"/>
          <w:sz w:val="22"/>
        </w:rPr>
        <w:t>Any developer can run the project on their own machine with these steps (Python 3.10 or newer is required):</w:t>
      </w:r>
    </w:p>
    <w:p>
      <w:r>
        <w:rPr>
          <w:rFonts w:ascii="Consolas" w:hAnsi="Consolas"/>
          <w:sz w:val="20"/>
        </w:rPr>
        <w:t>python3 -m venv .venv</w:t>
        <w:br/>
        <w:t>source .venv/bin/activate        # Windows: .venv\Scripts\activate</w:t>
        <w:br/>
        <w:t>pip install -r requirements.txt</w:t>
        <w:br/>
        <w:t>uvicorn app.main:app --reload</w:t>
      </w:r>
    </w:p>
    <w:p>
      <w:pPr>
        <w:spacing w:after="120"/>
      </w:pPr>
      <w:r>
        <w:rPr>
          <w:b w:val="0"/>
          <w:i w:val="0"/>
          <w:sz w:val="22"/>
        </w:rPr>
        <w:t>Then open http://127.0.0.1:8000/docs to try every endpoint in the browser. Run the automated tests with the command pytest.</w:t>
      </w:r>
    </w:p>
    <w:p>
      <w:pPr>
        <w:spacing w:before="280" w:after="120"/>
      </w:pPr>
      <w:r>
        <w:rPr>
          <w:b/>
          <w:color w:val="1F3864"/>
          <w:sz w:val="32"/>
        </w:rPr>
        <w:t>9. Testing</w:t>
      </w:r>
    </w:p>
    <w:p>
      <w:pPr>
        <w:spacing w:after="120"/>
      </w:pPr>
      <w:r>
        <w:rPr>
          <w:b w:val="0"/>
          <w:i w:val="0"/>
          <w:sz w:val="22"/>
        </w:rPr>
        <w:t>The repository includes a file called TESTING.md that gives four ready-made sample inputs for every route (covering high, medium, low and edge cases), so anyone can test the API quickly. For the alerts route, four sample students are already loaded in the mock ERP:</w:t>
      </w:r>
    </w:p>
    <w:tbl>
      <w:tblPr>
        <w:tblStyle w:val="TableGrid"/>
        <w:tblW w:type="auto" w:w="0"/>
        <w:jc w:val="center"/>
        <w:tblLook w:firstColumn="1" w:firstRow="1" w:lastColumn="0" w:lastRow="0" w:noHBand="0" w:noVBand="1" w:val="04A0"/>
      </w:tblPr>
      <w:tblGrid>
        <w:gridCol w:w="2880"/>
        <w:gridCol w:w="2880"/>
        <w:gridCol w:w="2880"/>
      </w:tblGrid>
      <w:tr>
        <w:tc>
          <w:tcPr>
            <w:tcW w:type="dxa" w:w="2448"/>
            <w:shd w:val="clear" w:color="auto" w:fill="2E75B6"/>
          </w:tcPr>
          <w:p>
            <w:r/>
            <w:r>
              <w:rPr>
                <w:b/>
                <w:color w:val="FFFFFF"/>
                <w:sz w:val="20"/>
              </w:rPr>
              <w:t>Student ID</w:t>
            </w:r>
          </w:p>
        </w:tc>
        <w:tc>
          <w:tcPr>
            <w:tcW w:type="dxa" w:w="4752"/>
            <w:shd w:val="clear" w:color="auto" w:fill="2E75B6"/>
          </w:tcPr>
          <w:p>
            <w:r/>
            <w:r>
              <w:rPr>
                <w:b/>
                <w:color w:val="FFFFFF"/>
                <w:sz w:val="20"/>
              </w:rPr>
              <w:t>Profile</w:t>
            </w:r>
          </w:p>
        </w:tc>
        <w:tc>
          <w:tcPr>
            <w:tcW w:type="dxa" w:w="5760"/>
            <w:shd w:val="clear" w:color="auto" w:fill="2E75B6"/>
          </w:tcPr>
          <w:p>
            <w:r/>
            <w:r>
              <w:rPr>
                <w:b/>
                <w:color w:val="FFFFFF"/>
                <w:sz w:val="20"/>
              </w:rPr>
              <w:t>What you'll see</w:t>
            </w:r>
          </w:p>
        </w:tc>
      </w:tr>
      <w:tr>
        <w:tc>
          <w:tcPr>
            <w:tcW w:type="dxa" w:w="2448"/>
          </w:tcPr>
          <w:p>
            <w:r/>
            <w:r>
              <w:rPr>
                <w:sz w:val="19"/>
              </w:rPr>
              <w:t>STU-1001</w:t>
            </w:r>
          </w:p>
        </w:tc>
        <w:tc>
          <w:tcPr>
            <w:tcW w:type="dxa" w:w="4752"/>
          </w:tcPr>
          <w:p>
            <w:r/>
            <w:r>
              <w:rPr>
                <w:sz w:val="19"/>
              </w:rPr>
              <w:t>Ali Khan — at risk</w:t>
            </w:r>
          </w:p>
        </w:tc>
        <w:tc>
          <w:tcPr>
            <w:tcW w:type="dxa" w:w="5760"/>
          </w:tcPr>
          <w:p>
            <w:r/>
            <w:r>
              <w:rPr>
                <w:sz w:val="19"/>
              </w:rPr>
              <w:t>Low-attendance alert</w:t>
            </w:r>
          </w:p>
        </w:tc>
      </w:tr>
      <w:tr>
        <w:tc>
          <w:tcPr>
            <w:tcW w:type="dxa" w:w="2448"/>
            <w:shd w:val="clear" w:color="auto" w:fill="EEF3FA"/>
          </w:tcPr>
          <w:p>
            <w:r/>
            <w:r>
              <w:rPr>
                <w:sz w:val="19"/>
              </w:rPr>
              <w:t>STU-1002</w:t>
            </w:r>
          </w:p>
        </w:tc>
        <w:tc>
          <w:tcPr>
            <w:tcW w:type="dxa" w:w="4752"/>
            <w:shd w:val="clear" w:color="auto" w:fill="EEF3FA"/>
          </w:tcPr>
          <w:p>
            <w:r/>
            <w:r>
              <w:rPr>
                <w:sz w:val="19"/>
              </w:rPr>
              <w:t>Sara Ahmed — healthy</w:t>
            </w:r>
          </w:p>
        </w:tc>
        <w:tc>
          <w:tcPr>
            <w:tcW w:type="dxa" w:w="5760"/>
            <w:shd w:val="clear" w:color="auto" w:fill="EEF3FA"/>
          </w:tcPr>
          <w:p>
            <w:r/>
            <w:r>
              <w:rPr>
                <w:sz w:val="19"/>
              </w:rPr>
              <w:t>No alerts (all good)</w:t>
            </w:r>
          </w:p>
        </w:tc>
      </w:tr>
      <w:tr>
        <w:tc>
          <w:tcPr>
            <w:tcW w:type="dxa" w:w="2448"/>
          </w:tcPr>
          <w:p>
            <w:r/>
            <w:r>
              <w:rPr>
                <w:sz w:val="19"/>
              </w:rPr>
              <w:t>STU-1003</w:t>
            </w:r>
          </w:p>
        </w:tc>
        <w:tc>
          <w:tcPr>
            <w:tcW w:type="dxa" w:w="4752"/>
          </w:tcPr>
          <w:p>
            <w:r/>
            <w:r>
              <w:rPr>
                <w:sz w:val="19"/>
              </w:rPr>
              <w:t>Bilal Hussain — medium</w:t>
            </w:r>
          </w:p>
        </w:tc>
        <w:tc>
          <w:tcPr>
            <w:tcW w:type="dxa" w:w="5760"/>
          </w:tcPr>
          <w:p>
            <w:r/>
            <w:r>
              <w:rPr>
                <w:sz w:val="19"/>
              </w:rPr>
              <w:t>Attendance, dropout &amp; fee alerts</w:t>
            </w:r>
          </w:p>
        </w:tc>
      </w:tr>
      <w:tr>
        <w:tc>
          <w:tcPr>
            <w:tcW w:type="dxa" w:w="2448"/>
            <w:shd w:val="clear" w:color="auto" w:fill="EEF3FA"/>
          </w:tcPr>
          <w:p>
            <w:r/>
            <w:r>
              <w:rPr>
                <w:sz w:val="19"/>
              </w:rPr>
              <w:t>STU-1004</w:t>
            </w:r>
          </w:p>
        </w:tc>
        <w:tc>
          <w:tcPr>
            <w:tcW w:type="dxa" w:w="4752"/>
            <w:shd w:val="clear" w:color="auto" w:fill="EEF3FA"/>
          </w:tcPr>
          <w:p>
            <w:r/>
            <w:r>
              <w:rPr>
                <w:sz w:val="19"/>
              </w:rPr>
              <w:t>Hina Raza — high risk</w:t>
            </w:r>
          </w:p>
        </w:tc>
        <w:tc>
          <w:tcPr>
            <w:tcW w:type="dxa" w:w="5760"/>
            <w:shd w:val="clear" w:color="auto" w:fill="EEF3FA"/>
          </w:tcPr>
          <w:p>
            <w:r/>
            <w:r>
              <w:rPr>
                <w:sz w:val="19"/>
              </w:rPr>
              <w:t>Fail, attendance, dropout &amp; fee alerts</w:t>
            </w:r>
          </w:p>
        </w:tc>
      </w:tr>
    </w:tbl>
    <w:p>
      <w:pPr>
        <w:spacing w:before="280" w:after="120"/>
      </w:pPr>
      <w:r>
        <w:rPr>
          <w:b/>
          <w:color w:val="1F3864"/>
          <w:sz w:val="32"/>
        </w:rPr>
        <w:t>10. Technology used</w:t>
      </w:r>
    </w:p>
    <w:p>
      <w:pPr>
        <w:pStyle w:val="ListBullet"/>
      </w:pPr>
      <w:r>
        <w:rPr>
          <w:b/>
        </w:rPr>
        <w:t>FastAPI</w:t>
      </w:r>
      <w:r>
        <w:t xml:space="preserve"> — modern, fast Python web framework for building APIs.</w:t>
      </w:r>
    </w:p>
    <w:p>
      <w:pPr>
        <w:pStyle w:val="ListBullet"/>
      </w:pPr>
      <w:r>
        <w:rPr>
          <w:b/>
        </w:rPr>
        <w:t>Pydantic</w:t>
      </w:r>
      <w:r>
        <w:t xml:space="preserve"> — validates all incoming and outgoing data automatically.</w:t>
      </w:r>
    </w:p>
    <w:p>
      <w:pPr>
        <w:pStyle w:val="ListBullet"/>
      </w:pPr>
      <w:r>
        <w:rPr>
          <w:b/>
        </w:rPr>
        <w:t>Uvicorn</w:t>
      </w:r>
      <w:r>
        <w:t xml:space="preserve"> — the server that runs the application.</w:t>
      </w:r>
    </w:p>
    <w:p>
      <w:pPr>
        <w:pStyle w:val="ListBullet"/>
      </w:pPr>
      <w:r>
        <w:rPr>
          <w:b/>
        </w:rPr>
        <w:t>HTTPX</w:t>
      </w:r>
      <w:r>
        <w:t xml:space="preserve"> — used to call the real ERP over HTTP.</w:t>
      </w:r>
    </w:p>
    <w:p>
      <w:pPr>
        <w:pStyle w:val="ListBullet"/>
      </w:pPr>
      <w:r>
        <w:rPr>
          <w:b/>
        </w:rPr>
        <w:t>Pytest</w:t>
      </w:r>
      <w:r>
        <w:t xml:space="preserve"> — automated testing.</w:t>
      </w:r>
    </w:p>
    <w:p>
      <w:pPr>
        <w:pStyle w:val="ListBullet"/>
      </w:pPr>
      <w:r>
        <w:rPr>
          <w:b/>
        </w:rPr>
        <w:t>Docker</w:t>
      </w:r>
      <w:r>
        <w:t xml:space="preserve"> — packaging the app for free deployment on Hugging Face.</w:t>
      </w:r>
    </w:p>
    <w:p>
      <w:pPr>
        <w:spacing w:before="280" w:after="120"/>
      </w:pPr>
      <w:r>
        <w:rPr>
          <w:b/>
          <w:color w:val="1F3864"/>
          <w:sz w:val="32"/>
        </w:rPr>
        <w:t>11. What can be added next</w:t>
      </w:r>
    </w:p>
    <w:p>
      <w:pPr>
        <w:spacing w:after="120"/>
      </w:pPr>
      <w:r>
        <w:rPr>
          <w:b w:val="0"/>
          <w:i w:val="0"/>
          <w:sz w:val="22"/>
        </w:rPr>
        <w:t>The module is complete for its scope, and it is built so the following can be added without disturbing the rest of the code:</w:t>
      </w:r>
    </w:p>
    <w:p>
      <w:pPr>
        <w:pStyle w:val="ListBullet"/>
      </w:pPr>
      <w:r>
        <w:rPr>
          <w:b/>
        </w:rPr>
        <w:t>Real ML model</w:t>
      </w:r>
      <w:r>
        <w:t xml:space="preserve"> — replace the rule-based placeholder in app/models/predictor.py with the trained model. The rest of the app stays the same.</w:t>
      </w:r>
    </w:p>
    <w:p>
      <w:pPr>
        <w:pStyle w:val="ListBullet"/>
      </w:pPr>
      <w:r>
        <w:rPr>
          <w:b/>
        </w:rPr>
        <w:t>Real ERP connection</w:t>
      </w:r>
      <w:r>
        <w:t xml:space="preserve"> — flip ERP_MOCK_MODE to false and add the credentials.</w:t>
      </w:r>
    </w:p>
    <w:p>
      <w:pPr>
        <w:pStyle w:val="ListBullet"/>
      </w:pPr>
      <w:r>
        <w:rPr>
          <w:b/>
        </w:rPr>
        <w:t>A database</w:t>
      </w:r>
      <w:r>
        <w:t xml:space="preserve"> — if the institute wants to store every prediction, a free hosted database (such as Neon or Supabase) can be connected.</w:t>
      </w:r>
    </w:p>
    <w:p>
      <w:pPr>
        <w:spacing w:before="280" w:after="120"/>
      </w:pPr>
      <w:r>
        <w:rPr>
          <w:b/>
          <w:color w:val="1F3864"/>
          <w:sz w:val="32"/>
        </w:rPr>
        <w:t>12. Quick links</w:t>
      </w:r>
    </w:p>
    <w:tbl>
      <w:tblPr>
        <w:tblStyle w:val="TableGrid"/>
        <w:tblW w:type="auto" w:w="0"/>
        <w:jc w:val="center"/>
        <w:tblLook w:firstColumn="1" w:firstRow="1" w:lastColumn="0" w:lastRow="0" w:noHBand="0" w:noVBand="1" w:val="04A0"/>
      </w:tblPr>
      <w:tblGrid>
        <w:gridCol w:w="4320"/>
        <w:gridCol w:w="4320"/>
      </w:tblGrid>
      <w:tr>
        <w:tc>
          <w:tcPr>
            <w:tcW w:type="dxa" w:w="3744"/>
            <w:shd w:val="clear" w:color="auto" w:fill="2E75B6"/>
          </w:tcPr>
          <w:p>
            <w:r/>
            <w:r>
              <w:rPr>
                <w:b/>
                <w:color w:val="FFFFFF"/>
                <w:sz w:val="20"/>
              </w:rPr>
              <w:t>Resource</w:t>
            </w:r>
          </w:p>
        </w:tc>
        <w:tc>
          <w:tcPr>
            <w:tcW w:type="dxa" w:w="9216"/>
            <w:shd w:val="clear" w:color="auto" w:fill="2E75B6"/>
          </w:tcPr>
          <w:p>
            <w:r/>
            <w:r>
              <w:rPr>
                <w:b/>
                <w:color w:val="FFFFFF"/>
                <w:sz w:val="20"/>
              </w:rPr>
              <w:t>URL</w:t>
            </w:r>
          </w:p>
        </w:tc>
      </w:tr>
      <w:tr>
        <w:tc>
          <w:tcPr>
            <w:tcW w:type="dxa" w:w="3744"/>
          </w:tcPr>
          <w:p>
            <w:r/>
            <w:r>
              <w:rPr>
                <w:sz w:val="19"/>
              </w:rPr>
              <w:t>Source code (GitHub)</w:t>
            </w:r>
          </w:p>
        </w:tc>
        <w:tc>
          <w:tcPr>
            <w:tcW w:type="dxa" w:w="9216"/>
          </w:tcPr>
          <w:p>
            <w:r/>
            <w:r>
              <w:rPr>
                <w:sz w:val="19"/>
              </w:rPr>
              <w:t>https://github.com/muhammadabdullah901/early-warning-api</w:t>
            </w:r>
          </w:p>
        </w:tc>
      </w:tr>
      <w:tr>
        <w:tc>
          <w:tcPr>
            <w:tcW w:type="dxa" w:w="3744"/>
            <w:shd w:val="clear" w:color="auto" w:fill="EEF3FA"/>
          </w:tcPr>
          <w:p>
            <w:r/>
            <w:r>
              <w:rPr>
                <w:sz w:val="19"/>
              </w:rPr>
              <w:t>Live interactive docs</w:t>
            </w:r>
          </w:p>
        </w:tc>
        <w:tc>
          <w:tcPr>
            <w:tcW w:type="dxa" w:w="9216"/>
            <w:shd w:val="clear" w:color="auto" w:fill="EEF3FA"/>
          </w:tcPr>
          <w:p>
            <w:r/>
            <w:r>
              <w:rPr>
                <w:sz w:val="19"/>
              </w:rPr>
              <w:t>https://muhammadabdullah31808-early-warning-api.hf.space/docs</w:t>
            </w:r>
          </w:p>
        </w:tc>
      </w:tr>
      <w:tr>
        <w:tc>
          <w:tcPr>
            <w:tcW w:type="dxa" w:w="3744"/>
          </w:tcPr>
          <w:p>
            <w:r/>
            <w:r>
              <w:rPr>
                <w:sz w:val="19"/>
              </w:rPr>
              <w:t>Live API base URL</w:t>
            </w:r>
          </w:p>
        </w:tc>
        <w:tc>
          <w:tcPr>
            <w:tcW w:type="dxa" w:w="9216"/>
          </w:tcPr>
          <w:p>
            <w:r/>
            <w:r>
              <w:rPr>
                <w:sz w:val="19"/>
              </w:rPr>
              <w:t>https://muhammadabdullah31808-early-warning-api.hf.space</w:t>
            </w:r>
          </w:p>
        </w:tc>
      </w:tr>
      <w:tr>
        <w:tc>
          <w:tcPr>
            <w:tcW w:type="dxa" w:w="3744"/>
            <w:shd w:val="clear" w:color="auto" w:fill="EEF3FA"/>
          </w:tcPr>
          <w:p>
            <w:r/>
            <w:r>
              <w:rPr>
                <w:sz w:val="19"/>
              </w:rPr>
              <w:t>Hugging Face Space</w:t>
            </w:r>
          </w:p>
        </w:tc>
        <w:tc>
          <w:tcPr>
            <w:tcW w:type="dxa" w:w="9216"/>
            <w:shd w:val="clear" w:color="auto" w:fill="EEF3FA"/>
          </w:tcPr>
          <w:p>
            <w:r/>
            <w:r>
              <w:rPr>
                <w:sz w:val="19"/>
              </w:rPr>
              <w:t>https://huggingface.co/spaces/muhammadabdullah31808/early-warning-api</w:t>
            </w:r>
          </w:p>
        </w:tc>
      </w:tr>
    </w:tbl>
    <w:p/>
    <w:p>
      <w:pPr>
        <w:jc w:val="center"/>
      </w:pPr>
      <w:r>
        <w:rPr>
          <w:i/>
          <w:color w:val="555555"/>
          <w:sz w:val="20"/>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