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TaxTech owner handover</w:t>
      </w:r>
    </w:p>
    <w:p>
      <w:r>
        <w:rPr>
          <w:b/>
        </w:rPr>
        <w:t>Prepared for Abdul Rafay | 21 October 2026</w:t>
      </w:r>
    </w:p>
    <w:p>
      <w:r>
        <w:rPr>
          <w:b w:val="0"/>
        </w:rPr>
        <w:t>TaxTech is online and its developer work for the hackathon submission is complete. This guide explains how to use the demonstration, what you still need to submit, and how to keep it available for the judges.</w:t>
      </w:r>
    </w:p>
    <w:p>
      <w:r>
        <w:rPr>
          <w:b w:val="0"/>
        </w:rPr>
        <w:t>Your next priorities are to record the short video, complete the Devpost entry, and confirm that the AI credits will last through judging. You do not need to write code to do these tasks.</w:t>
      </w:r>
    </w:p>
    <w:p>
      <w:pPr>
        <w:pStyle w:val="Heading1"/>
      </w:pPr>
      <w:r>
        <w:t>What the app does</w:t>
      </w:r>
    </w:p>
    <w:p>
      <w:r>
        <w:rPr>
          <w:b w:val="0"/>
        </w:rPr>
        <w:t>TaxTech helps you upload a ledger, identify unclear entries with AI, review the suggested treatment, and prepare tax batches and an internal PDF summary. Ask TaxTech can also explain how to use the app and guide you to the relevant step.</w:t>
      </w:r>
    </w:p>
    <w:p>
      <w:r>
        <w:rPr>
          <w:b w:val="0"/>
        </w:rPr>
        <w:t>You remain responsible for approving entries. AI suggestions can be wrong or incomplete. The app does not file returns, make tax payments or check official taxpayer status automatically.</w:t>
      </w:r>
    </w:p>
    <w:p>
      <w:pPr>
        <w:pStyle w:val="Heading1"/>
      </w:pPr>
      <w:r>
        <w:t>What is ready</w:t>
      </w:r>
    </w:p>
    <w:p>
      <w:pPr>
        <w:pStyle w:val="ListBullet"/>
      </w:pPr>
      <w:r>
        <w:t>The live app and its public project page are available. The latest release checks passed.</w:t>
      </w:r>
    </w:p>
    <w:p>
      <w:pPr>
        <w:pStyle w:val="ListBullet"/>
      </w:pPr>
      <w:r>
        <w:t>A separate judge account contains invented data, a completed March example and April practice that can be reset.</w:t>
      </w:r>
    </w:p>
    <w:p>
      <w:pPr>
        <w:pStyle w:val="ListBullet"/>
      </w:pPr>
      <w:r>
        <w:t>Live AI review, the in-app assistant, access restrictions and the main demonstration workflow were tested.</w:t>
      </w:r>
    </w:p>
    <w:p>
      <w:pPr>
        <w:pStyle w:val="ListBullet"/>
      </w:pPr>
      <w:r>
        <w:t>Automatic health checks and encrypted backups are running. The latest checks passed on 21 October 2026.</w:t>
      </w:r>
    </w:p>
    <w:p>
      <w:pPr>
        <w:pStyle w:val="Heading1"/>
      </w:pPr>
      <w:r>
        <w:t>Your starting links</w:t>
      </w:r>
    </w:p>
    <w:p>
      <w:r>
        <w:rPr>
          <w:b/>
        </w:rPr>
        <w:t xml:space="preserve">Open TaxTech </w:t>
      </w:r>
      <w:hyperlink r:id="rId9">
        <w:r>
          <w:rPr>
            <w:u w:val="single"/>
          </w:rPr>
          <w:t>https://taxtech-zeta.vercel.app</w:t>
        </w:r>
      </w:hyperlink>
    </w:p>
    <w:p>
      <w:r>
        <w:rPr>
          <w:b/>
        </w:rPr>
        <w:t xml:space="preserve">Project and source code </w:t>
      </w:r>
      <w:hyperlink r:id="rId10">
        <w:r>
          <w:rPr>
            <w:u w:val="single"/>
          </w:rPr>
          <w:t>https://github.com/muhammadabdulrafay63-sudo/taxtech</w:t>
        </w:r>
      </w:hyperlink>
    </w:p>
    <w:p>
      <w:r>
        <w:rPr>
          <w:b w:val="0"/>
        </w:rPr>
        <w:t>The project page is useful for the submission and for a future developer. You can use TaxTech without understanding its code.</w:t>
      </w:r>
    </w:p>
    <w:p>
      <w:r>
        <w:rPr>
          <w:b w:val="0"/>
        </w:rPr>
        <w:t>This handover records the checks completed on 21 October 2026. It does not guarantee that a service or credit balance will remain available later.</w:t>
      </w:r>
    </w:p>
    <w:p>
      <w:r>
        <w:br w:type="page"/>
      </w:r>
    </w:p>
    <w:p>
      <w:pPr>
        <w:pStyle w:val="Title"/>
      </w:pPr>
      <w:r>
        <w:t>Try the judge demonstration</w:t>
      </w:r>
    </w:p>
    <w:p>
      <w:r>
        <w:rPr>
          <w:b w:val="0"/>
        </w:rPr>
        <w:t>Use only invented information in this shared account. Judges do not need to create their own hosting or AI accounts.</w:t>
      </w:r>
    </w:p>
    <w:p>
      <w:pPr>
        <w:pStyle w:val="Heading1"/>
      </w:pPr>
      <w:r>
        <w:t>Get the login privately</w:t>
      </w:r>
    </w:p>
    <w:p>
      <w:r>
        <w:rPr>
          <w:b w:val="0"/>
        </w:rPr>
        <w:t>The judge login is in a separate private note named judge-access.txt. Ask the person handing over this project to send that note through a private channel. It is not included in this document or the public project page. Save it in your password manager.</w:t>
      </w:r>
    </w:p>
    <w:p>
      <w:pPr>
        <w:pStyle w:val="Heading1"/>
      </w:pPr>
      <w:r>
        <w:t>Follow these steps</w:t>
      </w:r>
    </w:p>
    <w:p>
      <w:r>
        <w:rPr>
          <w:b w:val="0"/>
        </w:rPr>
        <w:t>1. Open TaxTech and sign in with the dedicated judge login. Finish or skip the first-time tour.</w:t>
      </w:r>
    </w:p>
    <w:p>
      <w:r>
        <w:rPr>
          <w:b w:val="0"/>
        </w:rPr>
        <w:t>2. Open Judge testing guide from the banner. Start with March 2025 to see a completed example and its PDF summary.</w:t>
      </w:r>
    </w:p>
    <w:p>
      <w:r>
        <w:rPr>
          <w:b w:val="0"/>
        </w:rPr>
        <w:t>3. Open April practice. Select Review unclear entries with AI and read its explanations. The guide provides all the invented invoice facts you need.</w:t>
      </w:r>
    </w:p>
    <w:p>
      <w:r>
        <w:rPr>
          <w:b w:val="0"/>
        </w:rPr>
        <w:t>4. Review the two supplier invoices, enter the requested amounts, confirm the example conditions and record your decision. Exclude the own-bank transfer with a reason.</w:t>
      </w:r>
    </w:p>
    <w:p>
      <w:r>
        <w:rPr>
          <w:b w:val="0"/>
        </w:rPr>
        <w:t>5. Generate the income draft and inspect it. Generate the FBR and SRB sales-tax drafts separately. Use Ask TaxTech if you need help finding the next step.</w:t>
      </w:r>
    </w:p>
    <w:p>
      <w:r>
        <w:rPr>
          <w:b w:val="0"/>
        </w:rPr>
        <w:t>6. To practise again, return to the judge guide, read the confirmation and choose Reset April practice. This clears April demo work and restores three pending entries. It keeps March intact.</w:t>
      </w:r>
    </w:p>
    <w:p>
      <w:r>
        <w:rPr>
          <w:b/>
        </w:rPr>
        <w:t>Expected example results: income withholding PKR 16,250; FBR sales withholding PKR 3,600; SRB sales withholding PKR 3,000. These are invented examples, not amounts payable to an authority.</w:t>
      </w:r>
    </w:p>
    <w:p>
      <w:r>
        <w:rPr>
          <w:b w:val="0"/>
        </w:rPr>
        <w:t>Reset April only when nobody else is using the shared account. It also removes any April uploads or mock payment records created during practice.</w:t>
      </w:r>
    </w:p>
    <w:p>
      <w:pPr>
        <w:pStyle w:val="Heading1"/>
      </w:pPr>
      <w:r>
        <w:t>When recording the video</w:t>
      </w:r>
    </w:p>
    <w:p>
      <w:r>
        <w:rPr>
          <w:b w:val="0"/>
        </w:rPr>
        <w:t>Rehearse using April. Keep the May sample upload for the recorded take. Uploading the same sample again produces a duplicate warning; open the existing May entries instead. Do not delete the judge account or change its company name.</w:t>
      </w:r>
    </w:p>
    <w:p>
      <w:pPr>
        <w:pStyle w:val="Heading1"/>
      </w:pPr>
      <w:r>
        <w:t>What this release covers</w:t>
      </w:r>
    </w:p>
    <w:p>
      <w:r>
        <w:rPr>
          <w:b w:val="0"/>
        </w:rPr>
        <w:t>The reviewed tax period is July 2024 to June 2025. Only specific cases are supported across FBR, SRB, PRA, KPRA and BRA. Unsupported taxable cases must remain pending for specialist review. Salary figures are estimates. This is not approval to use the app for every client or tax situation.</w:t>
      </w:r>
    </w:p>
    <w:p>
      <w:r>
        <w:br w:type="page"/>
      </w:r>
    </w:p>
    <w:p>
      <w:pPr>
        <w:pStyle w:val="Title"/>
      </w:pPr>
      <w:r>
        <w:t>Finish the submission</w:t>
      </w:r>
    </w:p>
    <w:p>
      <w:pPr>
        <w:pStyle w:val="Heading1"/>
      </w:pPr>
      <w:r>
        <w:t>Record the video</w:t>
      </w:r>
    </w:p>
    <w:p>
      <w:r>
        <w:rPr>
          <w:b w:val="0"/>
        </w:rPr>
        <w:t>Record a real app demonstration with English narration, shorter than three minutes. Aim for about 2 minutes 40 seconds: explain the problem, show upload and AI review, approve an example, generate a batch, then show Ask TaxTech. Keep passwords, billing screens and real client data out of the recording.</w:t>
      </w:r>
    </w:p>
    <w:p>
      <w:r>
        <w:rPr>
          <w:b w:val="0"/>
        </w:rPr>
        <w:t>Upload to YouTube with Public visibility. Open the video while signed out to confirm playback and sound. Keep its watch link for Devpost. The separate Remaining Submission Steps PDF includes a suggested recording timeline.</w:t>
      </w:r>
    </w:p>
    <w:p>
      <w:pPr>
        <w:pStyle w:val="Heading1"/>
      </w:pPr>
      <w:r>
        <w:t>Complete Devpost</w:t>
      </w:r>
    </w:p>
    <w:p>
      <w:r>
        <w:rPr>
          <w:b w:val="0"/>
        </w:rPr>
        <w:t>Choose Best Apps and Agents. Add the live app, public project link, video and any requested screenshots. Review the prepared description below, then add your own team, eligibility and ownership information.</w:t>
      </w:r>
    </w:p>
    <w:p>
      <w:r>
        <w:rPr>
          <w:b/>
        </w:rPr>
        <w:t xml:space="preserve">Prepared submission text </w:t>
      </w:r>
      <w:hyperlink r:id="rId11">
        <w:r>
          <w:rPr>
            <w:u w:val="single"/>
          </w:rPr>
          <w:t>https://github.com/muhammadabdulrafay63-sudo/taxtech/blob/main/docs/devpost-submission-copy.md</w:t>
        </w:r>
      </w:hyperlink>
    </w:p>
    <w:p>
      <w:r>
        <w:rPr>
          <w:b w:val="0"/>
        </w:rPr>
        <w:t>Put the dedicated judge login in the appropriate testing field after checking who can see that field. Never include your personal account password or service access keys. Review the entry, accept the terms yourself, click Submit and keep the confirmation. Saving a draft alone does not submit it.</w:t>
      </w:r>
    </w:p>
    <w:p>
      <w:r>
        <w:rPr>
          <w:b/>
        </w:rPr>
        <w:t>Submission deadline: 30 October 2026 at 10 PM Pakistan time. Check the official contest page for any organizer changes.</w:t>
      </w:r>
    </w:p>
    <w:p>
      <w:r>
        <w:rPr>
          <w:b/>
        </w:rPr>
        <w:t xml:space="preserve">Official contest rules </w:t>
      </w:r>
      <w:hyperlink r:id="rId12">
        <w:r>
          <w:rPr>
            <w:u w:val="single"/>
          </w:rPr>
          <w:t>https://nebiusglobalaihackathon.devpost.com/rules</w:t>
        </w:r>
      </w:hyperlink>
    </w:p>
    <w:p>
      <w:pPr>
        <w:pStyle w:val="Heading1"/>
      </w:pPr>
      <w:r>
        <w:t>Confirm AI credits</w:t>
      </w:r>
    </w:p>
    <w:p>
      <w:r>
        <w:rPr>
          <w:b w:val="0"/>
        </w:rPr>
        <w:t>Sign into Nebius Token Factory and open billing. Check both the usable balance and the expiry date. AI worked during testing, but the current balance and expiry have not been verified. If credits expire too soon, contact Nebius about an extension or arrange a suitable top-up yourself.</w:t>
      </w:r>
    </w:p>
    <w:p>
      <w:r>
        <w:rPr>
          <w:b w:val="0"/>
        </w:rPr>
        <w:t>Keep TaxTech, the judge login and AI access available through 16 December 2026 at 1 AM Pakistan time, which is the stated end of judging in Pakistan. Allow enough credits for repeated judge demonstrations; no fixed minimum has been verified.</w:t>
      </w:r>
    </w:p>
    <w:p>
      <w:pPr>
        <w:pStyle w:val="Heading1"/>
      </w:pPr>
      <w:r>
        <w:t>Before you click Submit</w:t>
      </w:r>
    </w:p>
    <w:p>
      <w:pPr>
        <w:pStyle w:val="ListBullet"/>
      </w:pPr>
      <w:r>
        <w:t>The public video plays and is under three minutes.</w:t>
      </w:r>
    </w:p>
    <w:p>
      <w:pPr>
        <w:pStyle w:val="ListBullet"/>
      </w:pPr>
      <w:r>
        <w:t>The app opens and the dedicated judge login works.</w:t>
      </w:r>
    </w:p>
    <w:p>
      <w:pPr>
        <w:pStyle w:val="ListBullet"/>
      </w:pPr>
      <w:r>
        <w:t>Devpost contains the correct links and judge instructions.</w:t>
      </w:r>
    </w:p>
    <w:p>
      <w:pPr>
        <w:pStyle w:val="ListBullet"/>
      </w:pPr>
      <w:r>
        <w:t>Credits remain valid throughout judging, and the submission confirmation is saved.</w:t>
      </w:r>
    </w:p>
    <w:p>
      <w:r>
        <w:br w:type="page"/>
      </w:r>
    </w:p>
    <w:p>
      <w:pPr>
        <w:pStyle w:val="Title"/>
      </w:pPr>
      <w:r>
        <w:t>Look after the app</w:t>
      </w:r>
    </w:p>
    <w:p>
      <w:r>
        <w:rPr>
          <w:b w:val="0"/>
        </w:rPr>
        <w:t>You own the accounts and decide on billing, access and submission. A developer should handle changes to the app, its stored records and its recovery setup.</w:t>
      </w:r>
    </w:p>
    <w:p>
      <w:pPr>
        <w:pStyle w:val="Heading1"/>
      </w:pPr>
      <w:r>
        <w:t>Know what each account is for</w:t>
      </w:r>
    </w:p>
    <w:p>
      <w:r>
        <w:rPr>
          <w:b w:val="0"/>
        </w:rPr>
        <w:t>GitHub - Keeps the project files and the history of changes. Automated checks and backup reports are also here.</w:t>
      </w:r>
    </w:p>
    <w:p>
      <w:r>
        <w:rPr>
          <w:b w:val="0"/>
        </w:rPr>
        <w:t>Vercel - Makes the website available online. Ask a developer to handle releases or restore an earlier version.</w:t>
      </w:r>
    </w:p>
    <w:p>
      <w:r>
        <w:rPr>
          <w:b w:val="0"/>
        </w:rPr>
        <w:t>Neon - Stores the app records. Avoid deleting projects, changing connection settings or restoring data yourself.</w:t>
      </w:r>
    </w:p>
    <w:p>
      <w:r>
        <w:rPr>
          <w:b w:val="0"/>
        </w:rPr>
        <w:t>Nebius Token Factory - Supplies the AI responses and holds the AI credits. Check billing and expiry here.</w:t>
      </w:r>
    </w:p>
    <w:p>
      <w:r>
        <w:rPr>
          <w:b w:val="0"/>
        </w:rPr>
        <w:t>YouTube and Devpost - Hold your demo video and contest entry. You complete and publish these yourself.</w:t>
      </w:r>
    </w:p>
    <w:p>
      <w:pPr>
        <w:pStyle w:val="Heading1"/>
      </w:pPr>
      <w:r>
        <w:t>Your routine</w:t>
      </w:r>
    </w:p>
    <w:p>
      <w:r>
        <w:rPr>
          <w:b w:val="0"/>
        </w:rPr>
        <w:t>During judging, open the app regularly, check that the judge account works and watch the account email for service alerts. Check Nebius credits and expiry separately. Automated checks are helpful, but they do not guarantee uninterrupted service or replace your billing checks.</w:t>
      </w:r>
    </w:p>
    <w:p>
      <w:r>
        <w:rPr>
          <w:b w:val="0"/>
        </w:rPr>
        <w:t>Keep the judge password unchanged through judging. Keep your own account recovery details and backup recovery key in a secure place. You already confirmed saving a separate recovery-key copy; keep that copy available.</w:t>
      </w:r>
    </w:p>
    <w:p>
      <w:pPr>
        <w:pStyle w:val="Heading1"/>
      </w:pPr>
      <w:r>
        <w:t>If something goes wrong</w:t>
      </w:r>
    </w:p>
    <w:p>
      <w:r>
        <w:rPr>
          <w:b w:val="0"/>
        </w:rPr>
        <w:t>If AI fails, note the message and time, then check Nebius credits. A temporary request limit may require waiting. The completed March example remains useful while the issue is investigated.</w:t>
      </w:r>
    </w:p>
    <w:p>
      <w:r>
        <w:rPr>
          <w:b w:val="0"/>
        </w:rPr>
        <w:t>If login fails, the site is unavailable, an amount looks wrong or an alert arrives, send your developer the page address, time, steps taken and a screenshot with private details hidden. Pause use of affected results. Never send passwords, AI keys or database access details in an ordinary support message.</w:t>
      </w:r>
    </w:p>
    <w:p>
      <w:r>
        <w:rPr>
          <w:b w:val="0"/>
        </w:rPr>
        <w:t>Ask a developer to investigate failures or restore a backup. A restore can replace records, so it should be tested safely before changing the live app. No ongoing developer support arrangement is established by this handover.</w:t>
      </w:r>
    </w:p>
    <w:p>
      <w:pPr>
        <w:pStyle w:val="Heading1"/>
      </w:pPr>
      <w:r>
        <w:t>Before serving real clients</w:t>
      </w:r>
    </w:p>
    <w:p>
      <w:r>
        <w:rPr>
          <w:b w:val="0"/>
        </w:rPr>
        <w:t>Have the relevant tax cases and evidence checked by a qualified reviewer. Ask your developer to confirm hosting terms and capacity for the intended client use, privacy arrangements and recovery readiness. Public website access alone does not establish suitability for commercial client work.</w:t>
      </w:r>
    </w:p>
    <w:p>
      <w:r>
        <w:rPr>
          <w:b w:val="0"/>
        </w:rPr>
        <w:t>Documents to retain: this handover, the Remaining Submission Steps PDF, the private judge-access note, and your separate backup recovery key. Share the login note privately; do not add it to the public project or video.</w:t>
      </w:r>
    </w:p>
    <w:sectPr w:rsidR="00FC693F" w:rsidRPr="0006063C" w:rsidSect="00034616">
      <w:footerReference w:type="default" r:id="rId13"/>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TaxTech handover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xtech-zeta.vercel.app" TargetMode="External"/><Relationship Id="rId10" Type="http://schemas.openxmlformats.org/officeDocument/2006/relationships/hyperlink" Target="https://github.com/muhammadabdulrafay63-sudo/taxtech" TargetMode="External"/><Relationship Id="rId11" Type="http://schemas.openxmlformats.org/officeDocument/2006/relationships/hyperlink" Target="https://github.com/muhammadabdulrafay63-sudo/taxtech/blob/main/docs/devpost-submission-copy.md" TargetMode="External"/><Relationship Id="rId12" Type="http://schemas.openxmlformats.org/officeDocument/2006/relationships/hyperlink" Target="https://nebiusglobalaihackathon.devpost.com/rule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TaxTech owner handover</dc:title>
  <dc:subject>Owner guide for Abdul Rafay</dc:subject>
  <dc:creator>TaxTech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